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49376" w14:textId="77777777" w:rsidR="008F7D31" w:rsidRPr="004C5920" w:rsidRDefault="008F7D31" w:rsidP="004C5920">
      <w:pPr>
        <w:pStyle w:val="SemEspaamento"/>
        <w:jc w:val="center"/>
        <w:rPr>
          <w:rFonts w:ascii="Arial" w:hAnsi="Arial" w:cs="Arial"/>
          <w:b/>
          <w:bCs/>
          <w:sz w:val="24"/>
          <w:szCs w:val="24"/>
        </w:rPr>
      </w:pPr>
      <w:r w:rsidRPr="004C5920">
        <w:rPr>
          <w:rFonts w:ascii="Arial" w:hAnsi="Arial" w:cs="Arial"/>
          <w:b/>
          <w:bCs/>
          <w:noProof/>
          <w:sz w:val="24"/>
          <w:szCs w:val="24"/>
          <w:lang w:eastAsia="pt-BR"/>
        </w:rPr>
        <w:drawing>
          <wp:anchor distT="0" distB="0" distL="114300" distR="114300" simplePos="0" relativeHeight="251663360" behindDoc="0" locked="0" layoutInCell="1" allowOverlap="1" wp14:anchorId="657F99B2" wp14:editId="6B383055">
            <wp:simplePos x="0" y="0"/>
            <wp:positionH relativeFrom="column">
              <wp:posOffset>-1095375</wp:posOffset>
            </wp:positionH>
            <wp:positionV relativeFrom="paragraph">
              <wp:posOffset>-1106170</wp:posOffset>
            </wp:positionV>
            <wp:extent cx="7653600" cy="914400"/>
            <wp:effectExtent l="0" t="0" r="5080" b="0"/>
            <wp:wrapNone/>
            <wp:docPr id="12206076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202723067"/>
      <w:r w:rsidRPr="004C5920">
        <w:rPr>
          <w:rFonts w:ascii="Arial" w:eastAsia="Arial" w:hAnsi="Arial" w:cs="Arial"/>
          <w:b/>
          <w:bCs/>
          <w:sz w:val="24"/>
          <w:szCs w:val="24"/>
        </w:rPr>
        <w:t>MONITORAÇÃO ELETRÔNICA NO AMAZONAS: UM PANORAMA ATUAL DOS DESAFIOS, LIMITES E POSSIBILIDADES NA ADMINISTRAÇÃO PENITENCIÁRIA</w:t>
      </w:r>
      <w:bookmarkEnd w:id="0"/>
    </w:p>
    <w:p w14:paraId="1E99F69A" w14:textId="77777777" w:rsidR="008F7D31" w:rsidRPr="003939FA" w:rsidRDefault="008F7D31" w:rsidP="008F7D31">
      <w:pPr>
        <w:spacing w:after="0" w:line="360" w:lineRule="auto"/>
        <w:jc w:val="both"/>
        <w:rPr>
          <w:rFonts w:ascii="Arial" w:hAnsi="Arial" w:cs="Arial"/>
          <w:sz w:val="24"/>
          <w:szCs w:val="24"/>
        </w:rPr>
      </w:pPr>
    </w:p>
    <w:p w14:paraId="13963888" w14:textId="77777777" w:rsidR="008F7D31" w:rsidRPr="00E316AC" w:rsidRDefault="008F7D31" w:rsidP="008F7D31">
      <w:pPr>
        <w:spacing w:after="0" w:line="240" w:lineRule="auto"/>
        <w:ind w:firstLine="709"/>
        <w:jc w:val="right"/>
        <w:rPr>
          <w:rFonts w:ascii="Arial" w:hAnsi="Arial" w:cs="Arial"/>
          <w:bCs/>
          <w:sz w:val="24"/>
          <w:szCs w:val="24"/>
        </w:rPr>
      </w:pPr>
      <w:r w:rsidRPr="00E316AC">
        <w:rPr>
          <w:rFonts w:ascii="Arial" w:hAnsi="Arial" w:cs="Arial"/>
          <w:bCs/>
          <w:sz w:val="24"/>
          <w:szCs w:val="24"/>
        </w:rPr>
        <w:t>Janaína Borges Marinho</w:t>
      </w:r>
      <w:r w:rsidRPr="00E316AC">
        <w:rPr>
          <w:rStyle w:val="Refdenotaderodap"/>
          <w:rFonts w:ascii="Arial" w:hAnsi="Arial" w:cs="Arial"/>
          <w:bCs/>
          <w:sz w:val="24"/>
          <w:szCs w:val="24"/>
        </w:rPr>
        <w:footnoteReference w:id="1"/>
      </w:r>
    </w:p>
    <w:p w14:paraId="050370EF" w14:textId="16200B06" w:rsidR="008F7D31" w:rsidRPr="00E316AC" w:rsidRDefault="00BB2632" w:rsidP="008F7D31">
      <w:pPr>
        <w:spacing w:after="0" w:line="240" w:lineRule="auto"/>
        <w:ind w:firstLine="709"/>
        <w:jc w:val="right"/>
        <w:rPr>
          <w:rFonts w:ascii="Arial" w:hAnsi="Arial" w:cs="Arial"/>
          <w:bCs/>
        </w:rPr>
      </w:pPr>
      <w:r>
        <w:pict w14:anchorId="04484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i1025" type="#_x0000_t75" style="width:15.75pt;height:15.75pt;visibility:visible;mso-wrap-style:square">
            <v:imagedata r:id="rId7" o:title=""/>
          </v:shape>
        </w:pict>
      </w:r>
      <w:r w:rsidR="008F7D31" w:rsidRPr="00E316AC">
        <w:rPr>
          <w:rFonts w:ascii="Arial" w:hAnsi="Arial" w:cs="Arial"/>
          <w:bCs/>
          <w:shd w:val="clear" w:color="auto" w:fill="FFFFFF"/>
        </w:rPr>
        <w:t xml:space="preserve"> </w:t>
      </w:r>
      <w:hyperlink r:id="rId8" w:history="1">
        <w:r w:rsidR="00E316AC" w:rsidRPr="00E155AE">
          <w:rPr>
            <w:rStyle w:val="Hyperlink"/>
            <w:rFonts w:ascii="Arial" w:hAnsi="Arial" w:cs="Arial"/>
            <w:bCs/>
            <w:shd w:val="clear" w:color="auto" w:fill="FFFFFF"/>
          </w:rPr>
          <w:t>http://lattes.cnpq.br/3095207089279641</w:t>
        </w:r>
      </w:hyperlink>
      <w:r w:rsidR="00E316AC">
        <w:rPr>
          <w:rFonts w:ascii="Arial" w:hAnsi="Arial" w:cs="Arial"/>
          <w:bCs/>
          <w:shd w:val="clear" w:color="auto" w:fill="FFFFFF"/>
        </w:rPr>
        <w:t xml:space="preserve"> </w:t>
      </w:r>
    </w:p>
    <w:p w14:paraId="701024CA" w14:textId="1BCCE332" w:rsidR="008F7D31" w:rsidRPr="00E316AC" w:rsidRDefault="00E316AC" w:rsidP="008F7D31">
      <w:pPr>
        <w:spacing w:after="0" w:line="240" w:lineRule="auto"/>
        <w:ind w:firstLine="709"/>
        <w:jc w:val="right"/>
        <w:rPr>
          <w:rFonts w:ascii="Arial" w:hAnsi="Arial" w:cs="Arial"/>
          <w:bCs/>
        </w:rPr>
      </w:pPr>
      <w:r w:rsidRPr="00DD1FCB">
        <w:rPr>
          <w:rFonts w:ascii="Arial" w:hAnsi="Arial" w:cs="Arial"/>
          <w:noProof/>
        </w:rPr>
        <w:drawing>
          <wp:inline distT="0" distB="0" distL="0" distR="0" wp14:anchorId="1E34B17C" wp14:editId="66899DFD">
            <wp:extent cx="209550" cy="209550"/>
            <wp:effectExtent l="0" t="0" r="0" b="0"/>
            <wp:docPr id="183519836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8F7D31" w:rsidRPr="00E316AC">
        <w:rPr>
          <w:rFonts w:ascii="Arial" w:hAnsi="Arial" w:cs="Arial"/>
          <w:bCs/>
        </w:rPr>
        <w:t xml:space="preserve"> </w:t>
      </w:r>
      <w:hyperlink r:id="rId10" w:history="1">
        <w:r w:rsidRPr="00E155AE">
          <w:rPr>
            <w:rStyle w:val="Hyperlink"/>
            <w:rFonts w:ascii="Arial" w:hAnsi="Arial" w:cs="Arial"/>
            <w:bCs/>
          </w:rPr>
          <w:t>https://orcid.org/0009-0003-1259-5478</w:t>
        </w:r>
      </w:hyperlink>
      <w:r>
        <w:rPr>
          <w:rFonts w:ascii="Arial" w:hAnsi="Arial" w:cs="Arial"/>
          <w:bCs/>
        </w:rPr>
        <w:t xml:space="preserve"> </w:t>
      </w:r>
    </w:p>
    <w:p w14:paraId="3513E78E" w14:textId="77777777" w:rsidR="008F7D31" w:rsidRPr="00E316AC" w:rsidRDefault="008F7D31" w:rsidP="008F7D31">
      <w:pPr>
        <w:spacing w:after="0" w:line="240" w:lineRule="auto"/>
        <w:ind w:firstLine="709"/>
        <w:jc w:val="right"/>
        <w:rPr>
          <w:rFonts w:ascii="Arial" w:hAnsi="Arial" w:cs="Arial"/>
          <w:bCs/>
          <w:sz w:val="24"/>
          <w:szCs w:val="24"/>
        </w:rPr>
      </w:pPr>
    </w:p>
    <w:p w14:paraId="36603A6A" w14:textId="77777777" w:rsidR="008F7D31" w:rsidRPr="00E316AC" w:rsidRDefault="008F7D31" w:rsidP="008F7D31">
      <w:pPr>
        <w:spacing w:after="0" w:line="240" w:lineRule="auto"/>
        <w:ind w:firstLine="709"/>
        <w:jc w:val="right"/>
        <w:rPr>
          <w:rFonts w:ascii="Arial" w:hAnsi="Arial" w:cs="Arial"/>
          <w:bCs/>
          <w:sz w:val="24"/>
          <w:szCs w:val="24"/>
        </w:rPr>
      </w:pPr>
      <w:r w:rsidRPr="00E316AC">
        <w:rPr>
          <w:rFonts w:ascii="Arial" w:hAnsi="Arial" w:cs="Arial"/>
          <w:bCs/>
          <w:sz w:val="24"/>
          <w:szCs w:val="24"/>
        </w:rPr>
        <w:t>Marcus Vinícius Oliveira de Almeida</w:t>
      </w:r>
      <w:r w:rsidRPr="00E316AC">
        <w:rPr>
          <w:rStyle w:val="Refdenotaderodap"/>
          <w:rFonts w:ascii="Arial" w:hAnsi="Arial" w:cs="Arial"/>
          <w:bCs/>
          <w:sz w:val="24"/>
          <w:szCs w:val="24"/>
        </w:rPr>
        <w:footnoteReference w:id="2"/>
      </w:r>
    </w:p>
    <w:p w14:paraId="628E0943" w14:textId="5DB6B92F" w:rsidR="00E316AC" w:rsidRPr="00E316AC" w:rsidRDefault="00BB2632" w:rsidP="008F7D31">
      <w:pPr>
        <w:spacing w:after="0" w:line="240" w:lineRule="auto"/>
        <w:ind w:firstLine="709"/>
        <w:jc w:val="right"/>
        <w:rPr>
          <w:rFonts w:ascii="Arial" w:hAnsi="Arial" w:cs="Arial"/>
          <w:bCs/>
        </w:rPr>
      </w:pPr>
      <w:r>
        <w:pict w14:anchorId="4B6F4777">
          <v:shape id="_x0000_i1026" type="#_x0000_t75" style="width:15.75pt;height:15.75pt;visibility:visible;mso-wrap-style:square">
            <v:imagedata r:id="rId7" o:title=""/>
          </v:shape>
        </w:pict>
      </w:r>
      <w:hyperlink r:id="rId11" w:history="1">
        <w:r w:rsidR="00E316AC" w:rsidRPr="00E316AC">
          <w:rPr>
            <w:rStyle w:val="Hyperlink"/>
            <w:rFonts w:ascii="Arial" w:hAnsi="Arial" w:cs="Arial"/>
            <w:bCs/>
          </w:rPr>
          <w:t>http://lattes.cnpq.br/6700670016278837</w:t>
        </w:r>
      </w:hyperlink>
      <w:r w:rsidR="00E316AC" w:rsidRPr="00E316AC">
        <w:rPr>
          <w:rFonts w:ascii="Arial" w:hAnsi="Arial" w:cs="Arial"/>
          <w:bCs/>
        </w:rPr>
        <w:t xml:space="preserve"> </w:t>
      </w:r>
    </w:p>
    <w:p w14:paraId="5B7E4FED" w14:textId="13491FDD" w:rsidR="00B61B96" w:rsidRPr="00E316AC" w:rsidRDefault="00E316AC" w:rsidP="008F7D31">
      <w:pPr>
        <w:spacing w:after="0" w:line="240" w:lineRule="auto"/>
        <w:ind w:firstLine="709"/>
        <w:jc w:val="right"/>
        <w:rPr>
          <w:rFonts w:ascii="Arial" w:hAnsi="Arial" w:cs="Arial"/>
          <w:bCs/>
          <w:shd w:val="clear" w:color="auto" w:fill="FFFFFF"/>
        </w:rPr>
      </w:pPr>
      <w:r w:rsidRPr="00DD1FCB">
        <w:rPr>
          <w:rFonts w:ascii="Arial" w:hAnsi="Arial" w:cs="Arial"/>
          <w:noProof/>
        </w:rPr>
        <w:drawing>
          <wp:inline distT="0" distB="0" distL="0" distR="0" wp14:anchorId="77580C97" wp14:editId="07E7FC9D">
            <wp:extent cx="209550" cy="209550"/>
            <wp:effectExtent l="0" t="0" r="0" b="0"/>
            <wp:docPr id="7046074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hyperlink r:id="rId12" w:history="1">
        <w:r w:rsidRPr="00E316AC">
          <w:rPr>
            <w:rStyle w:val="Hyperlink"/>
            <w:rFonts w:ascii="Arial" w:hAnsi="Arial" w:cs="Arial"/>
            <w:bCs/>
            <w:shd w:val="clear" w:color="auto" w:fill="FFFFFF"/>
          </w:rPr>
          <w:t>https://orcid.org/0009-0008-4544-1885</w:t>
        </w:r>
      </w:hyperlink>
      <w:r w:rsidRPr="00E316AC">
        <w:rPr>
          <w:rFonts w:ascii="Arial" w:hAnsi="Arial" w:cs="Arial"/>
          <w:bCs/>
          <w:shd w:val="clear" w:color="auto" w:fill="FFFFFF"/>
        </w:rPr>
        <w:t xml:space="preserve"> </w:t>
      </w:r>
    </w:p>
    <w:p w14:paraId="26F8C53C" w14:textId="77777777" w:rsidR="008F7D31" w:rsidRPr="00E316AC" w:rsidRDefault="008F7D31" w:rsidP="008F7D31">
      <w:pPr>
        <w:spacing w:after="0" w:line="240" w:lineRule="auto"/>
        <w:ind w:firstLine="709"/>
        <w:jc w:val="right"/>
        <w:rPr>
          <w:rFonts w:ascii="Arial" w:hAnsi="Arial" w:cs="Arial"/>
          <w:bCs/>
          <w:sz w:val="24"/>
          <w:szCs w:val="24"/>
        </w:rPr>
      </w:pPr>
    </w:p>
    <w:p w14:paraId="3C1F6F01" w14:textId="77777777" w:rsidR="008F7D31" w:rsidRPr="00E316AC" w:rsidRDefault="008F7D31" w:rsidP="008F7D31">
      <w:pPr>
        <w:spacing w:after="0" w:line="240" w:lineRule="auto"/>
        <w:ind w:firstLine="709"/>
        <w:jc w:val="right"/>
        <w:rPr>
          <w:rFonts w:ascii="Arial" w:hAnsi="Arial" w:cs="Arial"/>
          <w:bCs/>
          <w:sz w:val="24"/>
          <w:szCs w:val="24"/>
        </w:rPr>
      </w:pPr>
      <w:r w:rsidRPr="00E316AC">
        <w:rPr>
          <w:rFonts w:ascii="Arial" w:hAnsi="Arial" w:cs="Arial"/>
          <w:bCs/>
          <w:sz w:val="24"/>
          <w:szCs w:val="24"/>
        </w:rPr>
        <w:t>Cesar Mauricio de Abreu Mello</w:t>
      </w:r>
      <w:r w:rsidRPr="00E316AC">
        <w:rPr>
          <w:rStyle w:val="Refdenotaderodap"/>
          <w:rFonts w:ascii="Arial" w:hAnsi="Arial" w:cs="Arial"/>
          <w:bCs/>
          <w:sz w:val="24"/>
          <w:szCs w:val="24"/>
        </w:rPr>
        <w:footnoteReference w:id="3"/>
      </w:r>
    </w:p>
    <w:p w14:paraId="1CF24112" w14:textId="7881A65C" w:rsidR="008F7D31" w:rsidRDefault="00BB2632" w:rsidP="008F7D31">
      <w:pPr>
        <w:spacing w:after="0" w:line="240" w:lineRule="auto"/>
        <w:ind w:firstLine="709"/>
        <w:jc w:val="right"/>
        <w:rPr>
          <w:rFonts w:ascii="Arial" w:hAnsi="Arial" w:cs="Arial"/>
          <w:shd w:val="clear" w:color="auto" w:fill="FFFFFF"/>
        </w:rPr>
      </w:pPr>
      <w:r>
        <w:pict w14:anchorId="08E2A655">
          <v:shape id="_x0000_i1027" type="#_x0000_t75" style="width:15.75pt;height:15.75pt;visibility:visible;mso-wrap-style:square">
            <v:imagedata r:id="rId7" o:title=""/>
          </v:shape>
        </w:pict>
      </w:r>
      <w:r w:rsidR="00E316AC">
        <w:t xml:space="preserve"> </w:t>
      </w:r>
      <w:hyperlink r:id="rId13" w:history="1">
        <w:r w:rsidR="00E316AC" w:rsidRPr="00E155AE">
          <w:rPr>
            <w:rStyle w:val="Hyperlink"/>
            <w:rFonts w:ascii="Arial" w:hAnsi="Arial" w:cs="Arial"/>
            <w:shd w:val="clear" w:color="auto" w:fill="FFFFFF"/>
          </w:rPr>
          <w:t>http://lattes.cnpq.br/2079368341132335</w:t>
        </w:r>
      </w:hyperlink>
    </w:p>
    <w:p w14:paraId="14B722DD" w14:textId="3E464341" w:rsidR="008F7D31" w:rsidRDefault="00E316AC" w:rsidP="008F7D31">
      <w:pPr>
        <w:spacing w:after="0" w:line="240" w:lineRule="auto"/>
        <w:ind w:firstLine="709"/>
        <w:jc w:val="right"/>
        <w:rPr>
          <w:rFonts w:ascii="Arial" w:hAnsi="Arial" w:cs="Arial"/>
        </w:rPr>
      </w:pPr>
      <w:r w:rsidRPr="00DD1FCB">
        <w:rPr>
          <w:rFonts w:ascii="Arial" w:hAnsi="Arial" w:cs="Arial"/>
          <w:noProof/>
        </w:rPr>
        <w:drawing>
          <wp:inline distT="0" distB="0" distL="0" distR="0" wp14:anchorId="288EDCFF" wp14:editId="0BC0E7F3">
            <wp:extent cx="209550" cy="209550"/>
            <wp:effectExtent l="0" t="0" r="0" b="0"/>
            <wp:docPr id="1063984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hyperlink r:id="rId14" w:history="1">
        <w:r w:rsidRPr="00E155AE">
          <w:rPr>
            <w:rStyle w:val="Hyperlink"/>
            <w:rFonts w:ascii="Arial" w:hAnsi="Arial" w:cs="Arial"/>
          </w:rPr>
          <w:t>https://orcid.org/0000-0003-3086-2624</w:t>
        </w:r>
      </w:hyperlink>
    </w:p>
    <w:p w14:paraId="1185EE11" w14:textId="77777777" w:rsidR="008F7D31" w:rsidRPr="00FB5EBE" w:rsidRDefault="008F7D31" w:rsidP="008F7D31">
      <w:pPr>
        <w:spacing w:after="0" w:line="240" w:lineRule="auto"/>
        <w:ind w:firstLine="709"/>
        <w:jc w:val="right"/>
        <w:rPr>
          <w:rFonts w:ascii="Arial" w:hAnsi="Arial" w:cs="Arial"/>
          <w:bCs/>
          <w:sz w:val="20"/>
          <w:szCs w:val="20"/>
        </w:rPr>
      </w:pPr>
    </w:p>
    <w:p w14:paraId="6F79ECC9" w14:textId="77777777" w:rsidR="008F7D31" w:rsidRDefault="008F7D31" w:rsidP="00E316AC">
      <w:pPr>
        <w:pBdr>
          <w:top w:val="nil"/>
          <w:left w:val="nil"/>
          <w:bottom w:val="nil"/>
          <w:right w:val="nil"/>
          <w:between w:val="nil"/>
        </w:pBdr>
        <w:spacing w:after="0" w:line="240" w:lineRule="auto"/>
        <w:ind w:hanging="2"/>
        <w:jc w:val="both"/>
        <w:rPr>
          <w:rFonts w:ascii="Arial" w:eastAsia="Arial" w:hAnsi="Arial" w:cs="Arial"/>
          <w:b/>
        </w:rPr>
      </w:pPr>
      <w:r w:rsidRPr="00F30023">
        <w:rPr>
          <w:rFonts w:ascii="Arial" w:eastAsia="Arial" w:hAnsi="Arial" w:cs="Arial"/>
          <w:b/>
        </w:rPr>
        <w:t>Resumo</w:t>
      </w:r>
    </w:p>
    <w:p w14:paraId="16C14721" w14:textId="77777777" w:rsidR="00E316AC" w:rsidRPr="00F30023" w:rsidRDefault="00E316AC" w:rsidP="00E316AC">
      <w:pPr>
        <w:pBdr>
          <w:top w:val="nil"/>
          <w:left w:val="nil"/>
          <w:bottom w:val="nil"/>
          <w:right w:val="nil"/>
          <w:between w:val="nil"/>
        </w:pBdr>
        <w:spacing w:after="0" w:line="240" w:lineRule="auto"/>
        <w:ind w:hanging="2"/>
        <w:jc w:val="both"/>
        <w:rPr>
          <w:rFonts w:ascii="Arial" w:eastAsia="Arial" w:hAnsi="Arial" w:cs="Arial"/>
        </w:rPr>
      </w:pPr>
    </w:p>
    <w:p w14:paraId="337DC2F2" w14:textId="77777777" w:rsidR="008F7D31" w:rsidRDefault="008F7D31" w:rsidP="00E316AC">
      <w:pPr>
        <w:pStyle w:val="Corpodetexto"/>
        <w:jc w:val="both"/>
        <w:rPr>
          <w:rFonts w:ascii="Arial" w:hAnsi="Arial" w:cs="Arial"/>
          <w:bCs/>
          <w:sz w:val="22"/>
          <w:szCs w:val="22"/>
          <w:lang w:val="pt-BR"/>
        </w:rPr>
      </w:pPr>
      <w:bookmarkStart w:id="1" w:name="_Hlk200976986"/>
      <w:r w:rsidRPr="00F0059C">
        <w:rPr>
          <w:rFonts w:ascii="Arial" w:hAnsi="Arial" w:cs="Arial"/>
          <w:bCs/>
          <w:sz w:val="22"/>
          <w:szCs w:val="22"/>
          <w:lang w:val="pt-BR"/>
        </w:rPr>
        <w:t xml:space="preserve">A situação crítica do sistema penitenciário brasileiro, marcada por violações recorrentes de direitos fundamentais e pela superpopulação carcerária, evidencia a necessidade urgente de políticas públicas que fortaleçam a legitimidade e a efetividade da execução penal. Nesse cenário, o sistema de monitoração eletrônica, como medida alternativa, desempenha um papel importante. Contudo, os desafios à sua aplicação são inúmeros. </w:t>
      </w:r>
      <w:bookmarkStart w:id="2" w:name="_Hlk200977030"/>
      <w:bookmarkEnd w:id="1"/>
      <w:r w:rsidRPr="00F0059C">
        <w:rPr>
          <w:rFonts w:ascii="Arial" w:hAnsi="Arial" w:cs="Arial"/>
          <w:bCs/>
          <w:sz w:val="22"/>
          <w:szCs w:val="22"/>
          <w:lang w:val="pt-BR"/>
        </w:rPr>
        <w:t xml:space="preserve">Dessa maneira, o presente artigo busca </w:t>
      </w:r>
      <w:proofErr w:type="spellStart"/>
      <w:r w:rsidRPr="00F0059C">
        <w:rPr>
          <w:rFonts w:ascii="Arial" w:hAnsi="Arial" w:cs="Arial"/>
          <w:sz w:val="22"/>
          <w:szCs w:val="22"/>
        </w:rPr>
        <w:t>compreender</w:t>
      </w:r>
      <w:proofErr w:type="spellEnd"/>
      <w:r w:rsidRPr="00F0059C">
        <w:rPr>
          <w:rFonts w:ascii="Arial" w:hAnsi="Arial" w:cs="Arial"/>
          <w:sz w:val="22"/>
          <w:szCs w:val="22"/>
        </w:rPr>
        <w:t xml:space="preserve"> as </w:t>
      </w:r>
      <w:proofErr w:type="spellStart"/>
      <w:r w:rsidRPr="00F0059C">
        <w:rPr>
          <w:rFonts w:ascii="Arial" w:hAnsi="Arial" w:cs="Arial"/>
          <w:sz w:val="22"/>
          <w:szCs w:val="22"/>
        </w:rPr>
        <w:t>dificuldades</w:t>
      </w:r>
      <w:proofErr w:type="spellEnd"/>
      <w:r w:rsidRPr="00F0059C">
        <w:rPr>
          <w:rFonts w:ascii="Arial" w:hAnsi="Arial" w:cs="Arial"/>
          <w:sz w:val="22"/>
          <w:szCs w:val="22"/>
        </w:rPr>
        <w:t xml:space="preserve"> </w:t>
      </w:r>
      <w:proofErr w:type="spellStart"/>
      <w:r w:rsidRPr="00F0059C">
        <w:rPr>
          <w:rFonts w:ascii="Arial" w:hAnsi="Arial" w:cs="Arial"/>
          <w:sz w:val="22"/>
          <w:szCs w:val="22"/>
        </w:rPr>
        <w:t>concretas</w:t>
      </w:r>
      <w:proofErr w:type="spellEnd"/>
      <w:r w:rsidRPr="00F0059C">
        <w:rPr>
          <w:rFonts w:ascii="Arial" w:hAnsi="Arial" w:cs="Arial"/>
          <w:sz w:val="22"/>
          <w:szCs w:val="22"/>
        </w:rPr>
        <w:t xml:space="preserve"> </w:t>
      </w:r>
      <w:proofErr w:type="spellStart"/>
      <w:r w:rsidRPr="00F0059C">
        <w:rPr>
          <w:rFonts w:ascii="Arial" w:hAnsi="Arial" w:cs="Arial"/>
          <w:sz w:val="22"/>
          <w:szCs w:val="22"/>
        </w:rPr>
        <w:t>vivenciadas</w:t>
      </w:r>
      <w:proofErr w:type="spellEnd"/>
      <w:r w:rsidRPr="00F0059C">
        <w:rPr>
          <w:rFonts w:ascii="Arial" w:hAnsi="Arial" w:cs="Arial"/>
          <w:sz w:val="22"/>
          <w:szCs w:val="22"/>
        </w:rPr>
        <w:t xml:space="preserve"> pela </w:t>
      </w:r>
      <w:proofErr w:type="spellStart"/>
      <w:r w:rsidRPr="00F0059C">
        <w:rPr>
          <w:rFonts w:ascii="Arial" w:hAnsi="Arial" w:cs="Arial"/>
          <w:sz w:val="22"/>
          <w:szCs w:val="22"/>
        </w:rPr>
        <w:t>administração</w:t>
      </w:r>
      <w:proofErr w:type="spellEnd"/>
      <w:r w:rsidRPr="00F0059C">
        <w:rPr>
          <w:rFonts w:ascii="Arial" w:hAnsi="Arial" w:cs="Arial"/>
          <w:sz w:val="22"/>
          <w:szCs w:val="22"/>
        </w:rPr>
        <w:t xml:space="preserve"> </w:t>
      </w:r>
      <w:proofErr w:type="spellStart"/>
      <w:r w:rsidRPr="00F0059C">
        <w:rPr>
          <w:rFonts w:ascii="Arial" w:hAnsi="Arial" w:cs="Arial"/>
          <w:sz w:val="22"/>
          <w:szCs w:val="22"/>
        </w:rPr>
        <w:t>penitenciária</w:t>
      </w:r>
      <w:proofErr w:type="spellEnd"/>
      <w:r w:rsidRPr="00F0059C">
        <w:rPr>
          <w:rFonts w:ascii="Arial" w:hAnsi="Arial" w:cs="Arial"/>
          <w:sz w:val="22"/>
          <w:szCs w:val="22"/>
        </w:rPr>
        <w:t xml:space="preserve"> do Amazonas </w:t>
      </w:r>
      <w:proofErr w:type="spellStart"/>
      <w:r w:rsidRPr="00F0059C">
        <w:rPr>
          <w:rFonts w:ascii="Arial" w:hAnsi="Arial" w:cs="Arial"/>
          <w:sz w:val="22"/>
          <w:szCs w:val="22"/>
        </w:rPr>
        <w:t>na</w:t>
      </w:r>
      <w:proofErr w:type="spellEnd"/>
      <w:r w:rsidRPr="00F0059C">
        <w:rPr>
          <w:rFonts w:ascii="Arial" w:hAnsi="Arial" w:cs="Arial"/>
          <w:sz w:val="22"/>
          <w:szCs w:val="22"/>
        </w:rPr>
        <w:t xml:space="preserve"> </w:t>
      </w:r>
      <w:proofErr w:type="spellStart"/>
      <w:r w:rsidRPr="00F0059C">
        <w:rPr>
          <w:rFonts w:ascii="Arial" w:hAnsi="Arial" w:cs="Arial"/>
          <w:sz w:val="22"/>
          <w:szCs w:val="22"/>
        </w:rPr>
        <w:t>implementação</w:t>
      </w:r>
      <w:proofErr w:type="spellEnd"/>
      <w:r w:rsidRPr="00F0059C">
        <w:rPr>
          <w:rFonts w:ascii="Arial" w:hAnsi="Arial" w:cs="Arial"/>
          <w:sz w:val="22"/>
          <w:szCs w:val="22"/>
        </w:rPr>
        <w:t xml:space="preserve"> e </w:t>
      </w:r>
      <w:proofErr w:type="spellStart"/>
      <w:r w:rsidRPr="00F0059C">
        <w:rPr>
          <w:rFonts w:ascii="Arial" w:hAnsi="Arial" w:cs="Arial"/>
          <w:sz w:val="22"/>
          <w:szCs w:val="22"/>
        </w:rPr>
        <w:t>operação</w:t>
      </w:r>
      <w:proofErr w:type="spellEnd"/>
      <w:r w:rsidRPr="00F0059C">
        <w:rPr>
          <w:rFonts w:ascii="Arial" w:hAnsi="Arial" w:cs="Arial"/>
          <w:sz w:val="22"/>
          <w:szCs w:val="22"/>
        </w:rPr>
        <w:t xml:space="preserve"> de </w:t>
      </w:r>
      <w:proofErr w:type="spellStart"/>
      <w:r w:rsidRPr="00F0059C">
        <w:rPr>
          <w:rFonts w:ascii="Arial" w:hAnsi="Arial" w:cs="Arial"/>
          <w:sz w:val="22"/>
          <w:szCs w:val="22"/>
        </w:rPr>
        <w:t>sistemas</w:t>
      </w:r>
      <w:proofErr w:type="spellEnd"/>
      <w:r w:rsidRPr="00F0059C">
        <w:rPr>
          <w:rFonts w:ascii="Arial" w:hAnsi="Arial" w:cs="Arial"/>
          <w:sz w:val="22"/>
          <w:szCs w:val="22"/>
        </w:rPr>
        <w:t xml:space="preserve"> de </w:t>
      </w:r>
      <w:proofErr w:type="spellStart"/>
      <w:r w:rsidRPr="00F0059C">
        <w:rPr>
          <w:rFonts w:ascii="Arial" w:hAnsi="Arial" w:cs="Arial"/>
          <w:sz w:val="22"/>
          <w:szCs w:val="22"/>
        </w:rPr>
        <w:t>monitoração</w:t>
      </w:r>
      <w:proofErr w:type="spellEnd"/>
      <w:r w:rsidRPr="00F0059C">
        <w:rPr>
          <w:rFonts w:ascii="Arial" w:hAnsi="Arial" w:cs="Arial"/>
          <w:sz w:val="22"/>
          <w:szCs w:val="22"/>
        </w:rPr>
        <w:t xml:space="preserve"> </w:t>
      </w:r>
      <w:proofErr w:type="spellStart"/>
      <w:r w:rsidRPr="00F0059C">
        <w:rPr>
          <w:rFonts w:ascii="Arial" w:hAnsi="Arial" w:cs="Arial"/>
          <w:sz w:val="22"/>
          <w:szCs w:val="22"/>
        </w:rPr>
        <w:t>eletrônica</w:t>
      </w:r>
      <w:proofErr w:type="spellEnd"/>
      <w:r w:rsidRPr="00F0059C">
        <w:rPr>
          <w:rFonts w:ascii="Arial" w:hAnsi="Arial" w:cs="Arial"/>
          <w:sz w:val="22"/>
          <w:szCs w:val="22"/>
        </w:rPr>
        <w:t xml:space="preserve">, </w:t>
      </w:r>
      <w:proofErr w:type="spellStart"/>
      <w:r w:rsidRPr="00F0059C">
        <w:rPr>
          <w:rFonts w:ascii="Arial" w:hAnsi="Arial" w:cs="Arial"/>
          <w:sz w:val="22"/>
          <w:szCs w:val="22"/>
        </w:rPr>
        <w:t>bem</w:t>
      </w:r>
      <w:proofErr w:type="spellEnd"/>
      <w:r w:rsidRPr="00F0059C">
        <w:rPr>
          <w:rFonts w:ascii="Arial" w:hAnsi="Arial" w:cs="Arial"/>
          <w:sz w:val="22"/>
          <w:szCs w:val="22"/>
        </w:rPr>
        <w:t xml:space="preserve"> </w:t>
      </w:r>
      <w:proofErr w:type="spellStart"/>
      <w:r w:rsidRPr="00F0059C">
        <w:rPr>
          <w:rFonts w:ascii="Arial" w:hAnsi="Arial" w:cs="Arial"/>
          <w:sz w:val="22"/>
          <w:szCs w:val="22"/>
        </w:rPr>
        <w:t>como</w:t>
      </w:r>
      <w:proofErr w:type="spellEnd"/>
      <w:r w:rsidRPr="00F0059C">
        <w:rPr>
          <w:rFonts w:ascii="Arial" w:hAnsi="Arial" w:cs="Arial"/>
          <w:sz w:val="22"/>
          <w:szCs w:val="22"/>
        </w:rPr>
        <w:t xml:space="preserve"> </w:t>
      </w:r>
      <w:proofErr w:type="spellStart"/>
      <w:r w:rsidRPr="00F0059C">
        <w:rPr>
          <w:rFonts w:ascii="Arial" w:hAnsi="Arial" w:cs="Arial"/>
          <w:sz w:val="22"/>
          <w:szCs w:val="22"/>
        </w:rPr>
        <w:t>identificar</w:t>
      </w:r>
      <w:proofErr w:type="spellEnd"/>
      <w:r w:rsidRPr="00F0059C">
        <w:rPr>
          <w:rFonts w:ascii="Arial" w:hAnsi="Arial" w:cs="Arial"/>
          <w:sz w:val="22"/>
          <w:szCs w:val="22"/>
        </w:rPr>
        <w:t xml:space="preserve"> </w:t>
      </w:r>
      <w:proofErr w:type="spellStart"/>
      <w:r w:rsidRPr="00F0059C">
        <w:rPr>
          <w:rFonts w:ascii="Arial" w:hAnsi="Arial" w:cs="Arial"/>
          <w:sz w:val="22"/>
          <w:szCs w:val="22"/>
        </w:rPr>
        <w:t>os</w:t>
      </w:r>
      <w:proofErr w:type="spellEnd"/>
      <w:r w:rsidRPr="00F0059C">
        <w:rPr>
          <w:rFonts w:ascii="Arial" w:hAnsi="Arial" w:cs="Arial"/>
          <w:sz w:val="22"/>
          <w:szCs w:val="22"/>
        </w:rPr>
        <w:t xml:space="preserve"> </w:t>
      </w:r>
      <w:proofErr w:type="spellStart"/>
      <w:r w:rsidRPr="00F0059C">
        <w:rPr>
          <w:rFonts w:ascii="Arial" w:hAnsi="Arial" w:cs="Arial"/>
          <w:sz w:val="22"/>
          <w:szCs w:val="22"/>
        </w:rPr>
        <w:t>obstáculos</w:t>
      </w:r>
      <w:proofErr w:type="spellEnd"/>
      <w:r w:rsidRPr="00F0059C">
        <w:rPr>
          <w:rFonts w:ascii="Arial" w:hAnsi="Arial" w:cs="Arial"/>
          <w:sz w:val="22"/>
          <w:szCs w:val="22"/>
        </w:rPr>
        <w:t xml:space="preserve"> que </w:t>
      </w:r>
      <w:proofErr w:type="spellStart"/>
      <w:r w:rsidRPr="00F0059C">
        <w:rPr>
          <w:rFonts w:ascii="Arial" w:hAnsi="Arial" w:cs="Arial"/>
          <w:sz w:val="22"/>
          <w:szCs w:val="22"/>
        </w:rPr>
        <w:t>podem</w:t>
      </w:r>
      <w:proofErr w:type="spellEnd"/>
      <w:r w:rsidRPr="00F0059C">
        <w:rPr>
          <w:rFonts w:ascii="Arial" w:hAnsi="Arial" w:cs="Arial"/>
          <w:sz w:val="22"/>
          <w:szCs w:val="22"/>
        </w:rPr>
        <w:t xml:space="preserve"> </w:t>
      </w:r>
      <w:proofErr w:type="spellStart"/>
      <w:r w:rsidRPr="00F0059C">
        <w:rPr>
          <w:rFonts w:ascii="Arial" w:hAnsi="Arial" w:cs="Arial"/>
          <w:sz w:val="22"/>
          <w:szCs w:val="22"/>
        </w:rPr>
        <w:t>comprometer</w:t>
      </w:r>
      <w:proofErr w:type="spellEnd"/>
      <w:r w:rsidRPr="00F0059C">
        <w:rPr>
          <w:rFonts w:ascii="Arial" w:hAnsi="Arial" w:cs="Arial"/>
          <w:sz w:val="22"/>
          <w:szCs w:val="22"/>
        </w:rPr>
        <w:t xml:space="preserve"> a </w:t>
      </w:r>
      <w:proofErr w:type="spellStart"/>
      <w:r w:rsidRPr="00F0059C">
        <w:rPr>
          <w:rFonts w:ascii="Arial" w:hAnsi="Arial" w:cs="Arial"/>
          <w:sz w:val="22"/>
          <w:szCs w:val="22"/>
        </w:rPr>
        <w:t>efetividade</w:t>
      </w:r>
      <w:proofErr w:type="spellEnd"/>
      <w:r w:rsidRPr="00F0059C">
        <w:rPr>
          <w:rFonts w:ascii="Arial" w:hAnsi="Arial" w:cs="Arial"/>
          <w:sz w:val="22"/>
          <w:szCs w:val="22"/>
        </w:rPr>
        <w:t xml:space="preserve"> da </w:t>
      </w:r>
      <w:proofErr w:type="spellStart"/>
      <w:r w:rsidRPr="00F0059C">
        <w:rPr>
          <w:rFonts w:ascii="Arial" w:hAnsi="Arial" w:cs="Arial"/>
          <w:sz w:val="22"/>
          <w:szCs w:val="22"/>
        </w:rPr>
        <w:t>medida</w:t>
      </w:r>
      <w:proofErr w:type="spellEnd"/>
      <w:r w:rsidRPr="00F0059C">
        <w:rPr>
          <w:rFonts w:ascii="Arial" w:hAnsi="Arial" w:cs="Arial"/>
          <w:sz w:val="22"/>
          <w:szCs w:val="22"/>
        </w:rPr>
        <w:t xml:space="preserve"> </w:t>
      </w:r>
      <w:proofErr w:type="spellStart"/>
      <w:r w:rsidRPr="00F0059C">
        <w:rPr>
          <w:rFonts w:ascii="Arial" w:hAnsi="Arial" w:cs="Arial"/>
          <w:sz w:val="22"/>
          <w:szCs w:val="22"/>
        </w:rPr>
        <w:t>como</w:t>
      </w:r>
      <w:proofErr w:type="spellEnd"/>
      <w:r w:rsidRPr="00F0059C">
        <w:rPr>
          <w:rFonts w:ascii="Arial" w:hAnsi="Arial" w:cs="Arial"/>
          <w:sz w:val="22"/>
          <w:szCs w:val="22"/>
        </w:rPr>
        <w:t xml:space="preserve"> </w:t>
      </w:r>
      <w:proofErr w:type="spellStart"/>
      <w:r w:rsidRPr="00F0059C">
        <w:rPr>
          <w:rFonts w:ascii="Arial" w:hAnsi="Arial" w:cs="Arial"/>
          <w:sz w:val="22"/>
          <w:szCs w:val="22"/>
        </w:rPr>
        <w:t>alternativa</w:t>
      </w:r>
      <w:proofErr w:type="spellEnd"/>
      <w:r w:rsidRPr="00F0059C">
        <w:rPr>
          <w:rFonts w:ascii="Arial" w:hAnsi="Arial" w:cs="Arial"/>
          <w:sz w:val="22"/>
          <w:szCs w:val="22"/>
        </w:rPr>
        <w:t xml:space="preserve"> </w:t>
      </w:r>
      <w:proofErr w:type="spellStart"/>
      <w:r w:rsidRPr="00F0059C">
        <w:rPr>
          <w:rFonts w:ascii="Arial" w:hAnsi="Arial" w:cs="Arial"/>
          <w:sz w:val="22"/>
          <w:szCs w:val="22"/>
        </w:rPr>
        <w:t>ao</w:t>
      </w:r>
      <w:proofErr w:type="spellEnd"/>
      <w:r w:rsidRPr="00F0059C">
        <w:rPr>
          <w:rFonts w:ascii="Arial" w:hAnsi="Arial" w:cs="Arial"/>
          <w:sz w:val="22"/>
          <w:szCs w:val="22"/>
        </w:rPr>
        <w:t xml:space="preserve"> </w:t>
      </w:r>
      <w:proofErr w:type="spellStart"/>
      <w:r w:rsidRPr="00F0059C">
        <w:rPr>
          <w:rFonts w:ascii="Arial" w:hAnsi="Arial" w:cs="Arial"/>
          <w:sz w:val="22"/>
          <w:szCs w:val="22"/>
        </w:rPr>
        <w:t>encarceramento</w:t>
      </w:r>
      <w:proofErr w:type="spellEnd"/>
      <w:r w:rsidRPr="00F0059C">
        <w:rPr>
          <w:rFonts w:ascii="Arial" w:hAnsi="Arial" w:cs="Arial"/>
          <w:sz w:val="22"/>
          <w:szCs w:val="22"/>
        </w:rPr>
        <w:t xml:space="preserve"> </w:t>
      </w:r>
      <w:proofErr w:type="spellStart"/>
      <w:r w:rsidRPr="00F0059C">
        <w:rPr>
          <w:rFonts w:ascii="Arial" w:hAnsi="Arial" w:cs="Arial"/>
          <w:sz w:val="22"/>
          <w:szCs w:val="22"/>
        </w:rPr>
        <w:t>tradicional</w:t>
      </w:r>
      <w:proofErr w:type="spellEnd"/>
      <w:r w:rsidRPr="00F0059C">
        <w:rPr>
          <w:rFonts w:ascii="Arial" w:hAnsi="Arial" w:cs="Arial"/>
          <w:sz w:val="22"/>
          <w:szCs w:val="22"/>
        </w:rPr>
        <w:t xml:space="preserve"> e </w:t>
      </w:r>
      <w:proofErr w:type="spellStart"/>
      <w:r w:rsidRPr="00F0059C">
        <w:rPr>
          <w:rFonts w:ascii="Arial" w:hAnsi="Arial" w:cs="Arial"/>
          <w:sz w:val="22"/>
          <w:szCs w:val="22"/>
        </w:rPr>
        <w:t>como</w:t>
      </w:r>
      <w:proofErr w:type="spellEnd"/>
      <w:r w:rsidRPr="00F0059C">
        <w:rPr>
          <w:rFonts w:ascii="Arial" w:hAnsi="Arial" w:cs="Arial"/>
          <w:sz w:val="22"/>
          <w:szCs w:val="22"/>
        </w:rPr>
        <w:t xml:space="preserve"> ferramenta de </w:t>
      </w:r>
      <w:proofErr w:type="spellStart"/>
      <w:r w:rsidRPr="00F0059C">
        <w:rPr>
          <w:rFonts w:ascii="Arial" w:hAnsi="Arial" w:cs="Arial"/>
          <w:sz w:val="22"/>
          <w:szCs w:val="22"/>
        </w:rPr>
        <w:t>reinserção</w:t>
      </w:r>
      <w:proofErr w:type="spellEnd"/>
      <w:r w:rsidRPr="00F0059C">
        <w:rPr>
          <w:rFonts w:ascii="Arial" w:hAnsi="Arial" w:cs="Arial"/>
          <w:sz w:val="22"/>
          <w:szCs w:val="22"/>
        </w:rPr>
        <w:t xml:space="preserve"> social</w:t>
      </w:r>
      <w:r>
        <w:rPr>
          <w:rFonts w:ascii="Arial" w:hAnsi="Arial" w:cs="Arial"/>
          <w:sz w:val="22"/>
          <w:szCs w:val="22"/>
        </w:rPr>
        <w:t xml:space="preserve">. </w:t>
      </w:r>
      <w:r w:rsidRPr="00F0059C">
        <w:rPr>
          <w:rFonts w:ascii="Arial" w:hAnsi="Arial" w:cs="Arial"/>
          <w:bCs/>
          <w:sz w:val="22"/>
          <w:szCs w:val="22"/>
          <w:lang w:val="pt-BR"/>
        </w:rPr>
        <w:t>A metodologia utilizada baseou-se na abordagem dedutiva, com apoio em pesquisa bibliográfica e documental, abrangendo legislações vigentes e decisões jurisprudenciais pertinentes. O que se concluiu após a pesquisa revela que, embora o uso de tornozeleiras eletrônicas represente um avanço normativo na busca por soluções penais menos punitivistas, sua efetividade prática encontra barreiras estruturais, técnicas e institucionais no contexto amazônico. Assim, para alcançar seus objetivos ressocializadores e preventivos, esse sistema demanda investimentos contínuos,</w:t>
      </w:r>
      <w:r w:rsidRPr="00922399">
        <w:rPr>
          <w:rFonts w:ascii="Arial" w:hAnsi="Arial" w:cs="Arial"/>
          <w:bCs/>
          <w:sz w:val="22"/>
          <w:szCs w:val="22"/>
          <w:lang w:val="pt-BR"/>
        </w:rPr>
        <w:t xml:space="preserve"> articulação interinstitucional e qualificação dos profissionais envolvidos na sua execução.</w:t>
      </w:r>
    </w:p>
    <w:p w14:paraId="7AAC955A" w14:textId="77777777" w:rsidR="008F7D31" w:rsidRPr="009360AA" w:rsidRDefault="008F7D31" w:rsidP="00E316AC">
      <w:pPr>
        <w:pStyle w:val="Corpodetexto"/>
        <w:jc w:val="both"/>
        <w:rPr>
          <w:rFonts w:ascii="Arial" w:hAnsi="Arial" w:cs="Arial"/>
          <w:lang w:val="pt-BR"/>
        </w:rPr>
      </w:pPr>
    </w:p>
    <w:bookmarkEnd w:id="2"/>
    <w:p w14:paraId="49EA9CEC" w14:textId="77777777" w:rsidR="008F7D31" w:rsidRDefault="008F7D31" w:rsidP="00E316AC">
      <w:pPr>
        <w:spacing w:after="0" w:line="240" w:lineRule="auto"/>
        <w:jc w:val="both"/>
        <w:rPr>
          <w:rFonts w:ascii="Arial" w:hAnsi="Arial" w:cs="Arial"/>
        </w:rPr>
      </w:pPr>
      <w:r w:rsidRPr="009360AA">
        <w:rPr>
          <w:rFonts w:ascii="Arial" w:hAnsi="Arial" w:cs="Arial"/>
          <w:b/>
          <w:bCs/>
        </w:rPr>
        <w:t>Palavras-chave</w:t>
      </w:r>
      <w:r w:rsidRPr="009360AA">
        <w:rPr>
          <w:rFonts w:ascii="Arial" w:hAnsi="Arial" w:cs="Arial"/>
        </w:rPr>
        <w:t xml:space="preserve">: </w:t>
      </w:r>
      <w:r w:rsidRPr="00E619C7">
        <w:rPr>
          <w:rFonts w:ascii="Arial" w:hAnsi="Arial" w:cs="Arial"/>
        </w:rPr>
        <w:t>sistema prisional; monitoramento eletrônico; políticas públicas; execução penal; Amazonas.</w:t>
      </w:r>
    </w:p>
    <w:p w14:paraId="719C1452" w14:textId="77777777" w:rsidR="00E316AC" w:rsidRPr="009B7CE0" w:rsidRDefault="00E316AC" w:rsidP="00E316AC">
      <w:pPr>
        <w:spacing w:after="0" w:line="240" w:lineRule="auto"/>
        <w:jc w:val="both"/>
        <w:rPr>
          <w:rFonts w:ascii="Arial" w:hAnsi="Arial" w:cs="Arial"/>
          <w:color w:val="000000" w:themeColor="text1"/>
        </w:rPr>
      </w:pPr>
    </w:p>
    <w:p w14:paraId="4892F40F" w14:textId="77777777" w:rsidR="008F7D31" w:rsidRDefault="008F7D31" w:rsidP="00E316AC">
      <w:pPr>
        <w:spacing w:after="0" w:line="240" w:lineRule="auto"/>
        <w:jc w:val="both"/>
        <w:rPr>
          <w:rFonts w:ascii="Arial" w:hAnsi="Arial" w:cs="Arial"/>
          <w:b/>
          <w:bCs/>
        </w:rPr>
      </w:pPr>
      <w:r w:rsidRPr="009360AA">
        <w:rPr>
          <w:rFonts w:ascii="Arial" w:hAnsi="Arial" w:cs="Arial"/>
          <w:b/>
          <w:bCs/>
        </w:rPr>
        <w:lastRenderedPageBreak/>
        <w:t>Abstract</w:t>
      </w:r>
    </w:p>
    <w:p w14:paraId="5FA3B8B0" w14:textId="77777777" w:rsidR="00E316AC" w:rsidRPr="00E316AC" w:rsidRDefault="00E316AC" w:rsidP="00E316AC">
      <w:pPr>
        <w:spacing w:after="0" w:line="240" w:lineRule="auto"/>
        <w:jc w:val="both"/>
        <w:rPr>
          <w:rFonts w:ascii="Arial" w:hAnsi="Arial" w:cs="Arial"/>
          <w:color w:val="000000" w:themeColor="text1"/>
        </w:rPr>
      </w:pPr>
    </w:p>
    <w:p w14:paraId="48A9B39F" w14:textId="77777777" w:rsidR="008F7D31" w:rsidRDefault="008F7D31" w:rsidP="00E316AC">
      <w:pPr>
        <w:spacing w:after="0" w:line="240" w:lineRule="auto"/>
        <w:jc w:val="both"/>
        <w:rPr>
          <w:rFonts w:ascii="Arial" w:hAnsi="Arial" w:cs="Arial"/>
          <w:lang w:val="en-US"/>
        </w:rPr>
      </w:pPr>
      <w:r>
        <w:rPr>
          <w:rFonts w:ascii="Arial" w:hAnsi="Arial" w:cs="Arial"/>
          <w:lang w:val="en-US"/>
        </w:rPr>
        <w:t>T</w:t>
      </w:r>
      <w:r w:rsidRPr="00922399">
        <w:rPr>
          <w:rFonts w:ascii="Arial" w:hAnsi="Arial" w:cs="Arial"/>
          <w:lang w:val="en-US"/>
        </w:rPr>
        <w:t xml:space="preserve">he critical situation of the Brazilian prison system, marked by recurring violations of fundamental rights and prison overcrowding, highlights the urgent need for public policies that strengthen the legitimacy and effectiveness of criminal enforcement. In this scenario, the electronic monitoring system, as an alternative measure, plays an important role. However, the challenges to its application are </w:t>
      </w:r>
      <w:proofErr w:type="spellStart"/>
      <w:proofErr w:type="gramStart"/>
      <w:r w:rsidRPr="00922399">
        <w:rPr>
          <w:rFonts w:ascii="Arial" w:hAnsi="Arial" w:cs="Arial"/>
          <w:lang w:val="en-US"/>
        </w:rPr>
        <w:t>numerous.This</w:t>
      </w:r>
      <w:proofErr w:type="spellEnd"/>
      <w:proofErr w:type="gramEnd"/>
      <w:r w:rsidRPr="00922399">
        <w:rPr>
          <w:rFonts w:ascii="Arial" w:hAnsi="Arial" w:cs="Arial"/>
          <w:lang w:val="en-US"/>
        </w:rPr>
        <w:t xml:space="preserve"> </w:t>
      </w:r>
      <w:proofErr w:type="spellStart"/>
      <w:r>
        <w:rPr>
          <w:rFonts w:ascii="Arial" w:hAnsi="Arial" w:cs="Arial"/>
          <w:lang w:val="en-US"/>
        </w:rPr>
        <w:t>papper</w:t>
      </w:r>
      <w:proofErr w:type="spellEnd"/>
      <w:r w:rsidRPr="00922399">
        <w:rPr>
          <w:rFonts w:ascii="Arial" w:hAnsi="Arial" w:cs="Arial"/>
          <w:lang w:val="en-US"/>
        </w:rPr>
        <w:t xml:space="preserve"> seeks to identify the main challenges faced by the Amazonas Penitentiary Administration in implementing electronic monitoring systems for alternative measures to the closed regime. The methodology used was based on a deductive approach, supported by bibliographical and documentary research, covering current legislation and relevant case law decisions. The conclusion drawn from the research is that, although the use of electronic anklets represents a normative advance in the search for less punitive penal solutions, their practical effectiveness encounters structural, technical and institutional barriers in the Amazonian context. Thus, in order to achieve its re-socializing and preventive objectives, this system requires continuous investment, inter-institutional coordination and the qualification of the professionals involved in its implementation.</w:t>
      </w:r>
    </w:p>
    <w:p w14:paraId="3F1C780D" w14:textId="77777777" w:rsidR="00E316AC" w:rsidRPr="00922399" w:rsidRDefault="00E316AC" w:rsidP="00E316AC">
      <w:pPr>
        <w:spacing w:after="0" w:line="240" w:lineRule="auto"/>
        <w:jc w:val="both"/>
        <w:rPr>
          <w:rFonts w:ascii="Arial" w:hAnsi="Arial" w:cs="Arial"/>
          <w:lang w:val="en-US"/>
        </w:rPr>
      </w:pPr>
    </w:p>
    <w:p w14:paraId="315CC23D" w14:textId="77777777" w:rsidR="008F7D31" w:rsidRPr="007F6F15" w:rsidRDefault="008F7D31" w:rsidP="00E316AC">
      <w:pPr>
        <w:spacing w:after="0" w:line="240" w:lineRule="auto"/>
        <w:jc w:val="both"/>
        <w:rPr>
          <w:rFonts w:ascii="Arial" w:hAnsi="Arial" w:cs="Arial"/>
          <w:b/>
          <w:bCs/>
          <w:lang w:val="en-US"/>
        </w:rPr>
      </w:pPr>
      <w:r w:rsidRPr="007F6F15">
        <w:rPr>
          <w:rFonts w:ascii="Arial" w:hAnsi="Arial" w:cs="Arial"/>
          <w:b/>
          <w:bCs/>
          <w:lang w:val="en-US"/>
        </w:rPr>
        <w:t xml:space="preserve">Keywords: </w:t>
      </w:r>
      <w:r w:rsidRPr="007F6F15">
        <w:rPr>
          <w:rFonts w:ascii="Arial" w:hAnsi="Arial" w:cs="Arial"/>
          <w:lang w:val="en-US"/>
        </w:rPr>
        <w:t>prison system; electronic monitoring; public policies; penal execution; Amazonas.</w:t>
      </w:r>
    </w:p>
    <w:p w14:paraId="4E947214" w14:textId="1BE5A020" w:rsidR="008F7D31" w:rsidRPr="00E316AC" w:rsidRDefault="008F7D31" w:rsidP="00E316AC">
      <w:pPr>
        <w:tabs>
          <w:tab w:val="left" w:pos="5415"/>
        </w:tabs>
        <w:spacing w:after="0" w:line="240" w:lineRule="auto"/>
        <w:jc w:val="both"/>
        <w:rPr>
          <w:rFonts w:ascii="Arial" w:hAnsi="Arial" w:cs="Arial"/>
          <w:bCs/>
          <w:lang w:val="en-US"/>
        </w:rPr>
      </w:pPr>
    </w:p>
    <w:p w14:paraId="25441783" w14:textId="39DAD9E3" w:rsidR="008F7D31" w:rsidRDefault="008F7D31" w:rsidP="008F7D31">
      <w:pPr>
        <w:spacing w:after="0" w:line="240" w:lineRule="auto"/>
        <w:jc w:val="both"/>
        <w:rPr>
          <w:rFonts w:ascii="Arial" w:hAnsi="Arial" w:cs="Arial"/>
          <w:b/>
          <w:sz w:val="24"/>
          <w:szCs w:val="24"/>
        </w:rPr>
      </w:pPr>
      <w:r w:rsidRPr="00655A9B">
        <w:rPr>
          <w:rFonts w:ascii="Arial" w:hAnsi="Arial" w:cs="Arial"/>
          <w:b/>
          <w:sz w:val="24"/>
          <w:szCs w:val="24"/>
        </w:rPr>
        <w:t>I</w:t>
      </w:r>
      <w:r w:rsidR="00E316AC" w:rsidRPr="00655A9B">
        <w:rPr>
          <w:rFonts w:ascii="Arial" w:hAnsi="Arial" w:cs="Arial"/>
          <w:b/>
          <w:sz w:val="24"/>
          <w:szCs w:val="24"/>
        </w:rPr>
        <w:t>ntrodução</w:t>
      </w:r>
    </w:p>
    <w:p w14:paraId="360FA239" w14:textId="77777777" w:rsidR="008F7D31" w:rsidRPr="008F7D31" w:rsidRDefault="008F7D31" w:rsidP="008F7D31">
      <w:pPr>
        <w:spacing w:after="0" w:line="240" w:lineRule="auto"/>
        <w:jc w:val="both"/>
        <w:rPr>
          <w:rFonts w:ascii="Arial" w:hAnsi="Arial" w:cs="Arial"/>
          <w:b/>
          <w:sz w:val="24"/>
          <w:szCs w:val="24"/>
        </w:rPr>
      </w:pPr>
    </w:p>
    <w:p w14:paraId="4046D395" w14:textId="77777777" w:rsidR="008F7D31" w:rsidRPr="00993C56" w:rsidRDefault="008F7D31" w:rsidP="00E316AC">
      <w:pPr>
        <w:spacing w:after="0" w:line="240" w:lineRule="auto"/>
        <w:ind w:firstLine="709"/>
        <w:jc w:val="both"/>
        <w:rPr>
          <w:rFonts w:ascii="Arial" w:eastAsia="Times New Roman" w:hAnsi="Arial" w:cs="Arial"/>
          <w:sz w:val="24"/>
          <w:szCs w:val="24"/>
          <w:lang w:eastAsia="pt-BR"/>
        </w:rPr>
      </w:pPr>
      <w:r w:rsidRPr="00993C56">
        <w:rPr>
          <w:rFonts w:ascii="Arial" w:eastAsia="Times New Roman" w:hAnsi="Arial" w:cs="Arial"/>
          <w:sz w:val="24"/>
          <w:szCs w:val="24"/>
          <w:lang w:eastAsia="pt-BR"/>
        </w:rPr>
        <w:t xml:space="preserve">O sistema penitenciário brasileiro encontra-se, atualmente, superlotado. O Brasil é </w:t>
      </w:r>
      <w:r>
        <w:rPr>
          <w:rFonts w:ascii="Arial" w:eastAsia="Times New Roman" w:hAnsi="Arial" w:cs="Arial"/>
          <w:sz w:val="24"/>
          <w:szCs w:val="24"/>
          <w:lang w:eastAsia="pt-BR"/>
        </w:rPr>
        <w:t>a terceira nação</w:t>
      </w:r>
      <w:r w:rsidRPr="00993C56">
        <w:rPr>
          <w:rFonts w:ascii="Arial" w:eastAsia="Times New Roman" w:hAnsi="Arial" w:cs="Arial"/>
          <w:sz w:val="24"/>
          <w:szCs w:val="24"/>
          <w:lang w:eastAsia="pt-BR"/>
        </w:rPr>
        <w:t xml:space="preserve"> que mais encarcera pessoas no mundo, ficando atrás apenas dos Estados Unidos e da China. No entanto, </w:t>
      </w:r>
      <w:r>
        <w:rPr>
          <w:rFonts w:ascii="Arial" w:eastAsia="Times New Roman" w:hAnsi="Arial" w:cs="Arial"/>
          <w:sz w:val="24"/>
          <w:szCs w:val="24"/>
          <w:lang w:eastAsia="pt-BR"/>
        </w:rPr>
        <w:t xml:space="preserve">o país </w:t>
      </w:r>
      <w:r w:rsidRPr="00993C56">
        <w:rPr>
          <w:rFonts w:ascii="Arial" w:eastAsia="Times New Roman" w:hAnsi="Arial" w:cs="Arial"/>
          <w:sz w:val="24"/>
          <w:szCs w:val="24"/>
          <w:lang w:eastAsia="pt-BR"/>
        </w:rPr>
        <w:t>não possui os recursos financeiros dos norte-americanos e, comparado à China, tem uma população significativamente menor.</w:t>
      </w:r>
    </w:p>
    <w:p w14:paraId="782FD08B" w14:textId="77777777" w:rsidR="008F7D31" w:rsidRDefault="008F7D31" w:rsidP="00E316AC">
      <w:pPr>
        <w:spacing w:after="0" w:line="240" w:lineRule="auto"/>
        <w:ind w:firstLine="709"/>
        <w:jc w:val="both"/>
        <w:rPr>
          <w:rFonts w:ascii="Arial" w:eastAsia="Times New Roman" w:hAnsi="Arial" w:cs="Arial"/>
          <w:sz w:val="24"/>
          <w:szCs w:val="24"/>
          <w:lang w:eastAsia="pt-BR"/>
        </w:rPr>
      </w:pPr>
      <w:r w:rsidRPr="00993C56">
        <w:rPr>
          <w:rFonts w:ascii="Arial" w:eastAsia="Times New Roman" w:hAnsi="Arial" w:cs="Arial"/>
          <w:sz w:val="24"/>
          <w:szCs w:val="24"/>
          <w:lang w:eastAsia="pt-BR"/>
        </w:rPr>
        <w:t>Segundo relatório mais recente do Conselho Nacional de Justiça, publicado em fevereiro de 2025, em conjunto com a Secretaria Nacional de Políticas Penais (SENAPPEN) por meio da Diretoria de Inteligência Penitenciária, há mais de 670 mil pessoas privadas de liberdade no Brasil. A capacidade total do sistema é de 494.379 vagas, resultando</w:t>
      </w:r>
      <w:r>
        <w:rPr>
          <w:rFonts w:ascii="Arial" w:eastAsia="Times New Roman" w:hAnsi="Arial" w:cs="Arial"/>
          <w:sz w:val="24"/>
          <w:szCs w:val="24"/>
          <w:lang w:eastAsia="pt-BR"/>
        </w:rPr>
        <w:t xml:space="preserve"> em um déficit de 175.886 vagas. (SENAPPEN, 2024; Barroso, 2025)</w:t>
      </w:r>
      <w:r>
        <w:rPr>
          <w:rFonts w:ascii="Arial" w:hAnsi="Arial" w:cs="Arial"/>
          <w:sz w:val="24"/>
          <w:szCs w:val="24"/>
        </w:rPr>
        <w:t>.</w:t>
      </w:r>
    </w:p>
    <w:p w14:paraId="5D606765" w14:textId="77777777" w:rsidR="008F7D31" w:rsidRPr="001F097C" w:rsidRDefault="008F7D31" w:rsidP="00E316AC">
      <w:pPr>
        <w:spacing w:after="0" w:line="240" w:lineRule="auto"/>
        <w:ind w:firstLine="709"/>
        <w:jc w:val="both"/>
        <w:rPr>
          <w:rFonts w:ascii="Arial" w:eastAsia="Times New Roman" w:hAnsi="Arial" w:cs="Arial"/>
          <w:sz w:val="24"/>
          <w:szCs w:val="24"/>
          <w:lang w:eastAsia="pt-BR"/>
        </w:rPr>
      </w:pPr>
      <w:r w:rsidRPr="00993C56">
        <w:rPr>
          <w:rFonts w:ascii="Arial" w:eastAsia="Times New Roman" w:hAnsi="Arial" w:cs="Arial"/>
          <w:sz w:val="24"/>
          <w:szCs w:val="24"/>
          <w:lang w:eastAsia="pt-BR"/>
        </w:rPr>
        <w:t>Além da superlotação, o sistema penitenciário brasileiro enfrenta outro grave problema: a presença de mais de 70 facções criminosas</w:t>
      </w:r>
      <w:r>
        <w:rPr>
          <w:rFonts w:ascii="Arial" w:eastAsia="Times New Roman" w:hAnsi="Arial" w:cs="Arial"/>
          <w:sz w:val="24"/>
          <w:szCs w:val="24"/>
          <w:lang w:eastAsia="pt-BR"/>
        </w:rPr>
        <w:t xml:space="preserve">, </w:t>
      </w:r>
      <w:r w:rsidRPr="00AC48FD">
        <w:rPr>
          <w:rFonts w:ascii="Arial" w:hAnsi="Arial" w:cs="Arial"/>
          <w:sz w:val="24"/>
          <w:szCs w:val="24"/>
        </w:rPr>
        <w:t>conforme dados apresentados pela Secretaria Nacional de Políticas Penais (SENAPPEN, 2024).</w:t>
      </w:r>
      <w:r>
        <w:rPr>
          <w:rFonts w:ascii="Arial" w:eastAsia="Times New Roman" w:hAnsi="Arial" w:cs="Arial"/>
          <w:sz w:val="24"/>
          <w:szCs w:val="24"/>
          <w:lang w:eastAsia="pt-BR"/>
        </w:rPr>
        <w:t xml:space="preserve"> </w:t>
      </w:r>
      <w:r w:rsidRPr="00993C56">
        <w:rPr>
          <w:rFonts w:ascii="Arial" w:eastAsia="Times New Roman" w:hAnsi="Arial" w:cs="Arial"/>
          <w:sz w:val="24"/>
          <w:szCs w:val="24"/>
          <w:lang w:eastAsia="pt-BR"/>
        </w:rPr>
        <w:t>D</w:t>
      </w:r>
      <w:r>
        <w:rPr>
          <w:rFonts w:ascii="Arial" w:eastAsia="Times New Roman" w:hAnsi="Arial" w:cs="Arial"/>
          <w:sz w:val="24"/>
          <w:szCs w:val="24"/>
          <w:lang w:eastAsia="pt-BR"/>
        </w:rPr>
        <w:t>e</w:t>
      </w:r>
      <w:r w:rsidRPr="00993C56">
        <w:rPr>
          <w:rFonts w:ascii="Arial" w:eastAsia="Times New Roman" w:hAnsi="Arial" w:cs="Arial"/>
          <w:sz w:val="24"/>
          <w:szCs w:val="24"/>
          <w:lang w:eastAsia="pt-BR"/>
        </w:rPr>
        <w:t xml:space="preserve"> acordo com o monitoramento realizado pelo Ministério da Justiça e Segurança Pública, essas organizações atuam dentro e fora das prisões. Os indivíduos que ingressam no sistema, caso não recebam o mínimo de dignidade por parte do Estado, tendem a ser acolhidos por essas facções, alimentando ainda mais o po</w:t>
      </w:r>
      <w:r>
        <w:rPr>
          <w:rFonts w:ascii="Arial" w:eastAsia="Times New Roman" w:hAnsi="Arial" w:cs="Arial"/>
          <w:sz w:val="24"/>
          <w:szCs w:val="24"/>
          <w:lang w:eastAsia="pt-BR"/>
        </w:rPr>
        <w:t>der das organizações criminosas. (Barroso, 2025)</w:t>
      </w:r>
    </w:p>
    <w:p w14:paraId="566B741E" w14:textId="77777777" w:rsidR="008F7D31" w:rsidRDefault="008F7D31" w:rsidP="00E316AC">
      <w:pPr>
        <w:spacing w:after="0" w:line="240" w:lineRule="auto"/>
        <w:jc w:val="both"/>
        <w:rPr>
          <w:rFonts w:ascii="Arial" w:hAnsi="Arial" w:cs="Arial"/>
          <w:sz w:val="24"/>
          <w:szCs w:val="24"/>
        </w:rPr>
      </w:pPr>
      <w:r>
        <w:rPr>
          <w:rFonts w:ascii="Arial" w:hAnsi="Arial" w:cs="Arial"/>
          <w:sz w:val="24"/>
          <w:szCs w:val="24"/>
        </w:rPr>
        <w:t>Nessa esteira, a</w:t>
      </w:r>
      <w:r w:rsidRPr="00224196">
        <w:rPr>
          <w:rFonts w:ascii="Arial" w:hAnsi="Arial" w:cs="Arial"/>
          <w:sz w:val="24"/>
          <w:szCs w:val="24"/>
        </w:rPr>
        <w:t xml:space="preserve"> questão do sistema prisional brasileiro tem sido objeto de intensos debates acadêmicos, políticos, governamentais e judiciais</w:t>
      </w:r>
      <w:r>
        <w:rPr>
          <w:rFonts w:ascii="Arial" w:hAnsi="Arial" w:cs="Arial"/>
          <w:sz w:val="24"/>
          <w:szCs w:val="24"/>
        </w:rPr>
        <w:t xml:space="preserve">, pois além de ser demasiadamente populoso, tem-se tornado um celeiro das facções criminosas no país. </w:t>
      </w:r>
      <w:r w:rsidRPr="00224196">
        <w:rPr>
          <w:rFonts w:ascii="Arial" w:hAnsi="Arial" w:cs="Arial"/>
          <w:sz w:val="24"/>
          <w:szCs w:val="24"/>
        </w:rPr>
        <w:t xml:space="preserve">No Supremo Tribunal Federal (STF), por exemplo, um partido político utilizou um instituto jurídico chamado </w:t>
      </w:r>
      <w:r w:rsidRPr="007B795D">
        <w:rPr>
          <w:rFonts w:ascii="Arial" w:hAnsi="Arial" w:cs="Arial"/>
          <w:sz w:val="24"/>
          <w:szCs w:val="24"/>
        </w:rPr>
        <w:t>Arguição de Descumprimento de Preceito Fundamental</w:t>
      </w:r>
      <w:r>
        <w:rPr>
          <w:rFonts w:ascii="Arial" w:hAnsi="Arial" w:cs="Arial"/>
          <w:sz w:val="24"/>
          <w:szCs w:val="24"/>
        </w:rPr>
        <w:t xml:space="preserve"> (ADPF) que reivindicava </w:t>
      </w:r>
      <w:r w:rsidRPr="00B6208F">
        <w:rPr>
          <w:rFonts w:ascii="Arial" w:hAnsi="Arial" w:cs="Arial"/>
          <w:sz w:val="24"/>
          <w:szCs w:val="24"/>
        </w:rPr>
        <w:t xml:space="preserve">diversas medidas para enfrentar a grave crise do sistema carcerário nacional, entre elas a implementação efetiva do </w:t>
      </w:r>
      <w:r>
        <w:rPr>
          <w:rFonts w:ascii="Arial" w:hAnsi="Arial" w:cs="Arial"/>
          <w:sz w:val="24"/>
          <w:szCs w:val="24"/>
        </w:rPr>
        <w:t>M</w:t>
      </w:r>
      <w:r w:rsidRPr="00B6208F">
        <w:rPr>
          <w:rFonts w:ascii="Arial" w:hAnsi="Arial" w:cs="Arial"/>
          <w:sz w:val="24"/>
          <w:szCs w:val="24"/>
        </w:rPr>
        <w:t xml:space="preserve">onitoramento </w:t>
      </w:r>
      <w:r>
        <w:rPr>
          <w:rFonts w:ascii="Arial" w:hAnsi="Arial" w:cs="Arial"/>
          <w:sz w:val="24"/>
          <w:szCs w:val="24"/>
        </w:rPr>
        <w:t>E</w:t>
      </w:r>
      <w:r w:rsidRPr="00B6208F">
        <w:rPr>
          <w:rFonts w:ascii="Arial" w:hAnsi="Arial" w:cs="Arial"/>
          <w:sz w:val="24"/>
          <w:szCs w:val="24"/>
        </w:rPr>
        <w:t>letrônico</w:t>
      </w:r>
      <w:r>
        <w:rPr>
          <w:rFonts w:ascii="Arial" w:hAnsi="Arial" w:cs="Arial"/>
          <w:sz w:val="24"/>
          <w:szCs w:val="24"/>
        </w:rPr>
        <w:t xml:space="preserve"> (ME) </w:t>
      </w:r>
      <w:r w:rsidRPr="00B6208F">
        <w:rPr>
          <w:rFonts w:ascii="Arial" w:hAnsi="Arial" w:cs="Arial"/>
          <w:sz w:val="24"/>
          <w:szCs w:val="24"/>
        </w:rPr>
        <w:t>como alternativa à prisão tradiciona</w:t>
      </w:r>
      <w:r>
        <w:rPr>
          <w:rFonts w:ascii="Arial" w:hAnsi="Arial" w:cs="Arial"/>
          <w:sz w:val="24"/>
          <w:szCs w:val="24"/>
        </w:rPr>
        <w:t>l (ADPF 347).</w:t>
      </w:r>
    </w:p>
    <w:p w14:paraId="73528859" w14:textId="77777777" w:rsidR="008F7D31" w:rsidRDefault="008F7D31" w:rsidP="00E316AC">
      <w:pPr>
        <w:spacing w:after="0" w:line="240" w:lineRule="auto"/>
        <w:ind w:firstLine="709"/>
        <w:jc w:val="both"/>
        <w:rPr>
          <w:rFonts w:ascii="Arial" w:hAnsi="Arial" w:cs="Arial"/>
          <w:sz w:val="24"/>
          <w:szCs w:val="24"/>
        </w:rPr>
      </w:pPr>
      <w:r w:rsidRPr="00B6208F">
        <w:rPr>
          <w:rFonts w:ascii="Arial" w:hAnsi="Arial" w:cs="Arial"/>
          <w:sz w:val="24"/>
          <w:szCs w:val="24"/>
        </w:rPr>
        <w:t>Um dos pilares centrais da ADPF 347 foi o reconhecimento do chamado "Estado de Coisas Inconstitucional" no sistema prisional brasileiro, conceito originado na Corte Constitucional da Colômbia. Esse estado caracteriza-se por a) violação massiva e generalizada dos direitos fundamentais de um número significativo de pessoas privadas de liberdade; b) prolongada omissão das autoridades no cumprimento de suas obrigações para garantir esses direitos; c) necessidade de adoção de medidas complexas e estruturais envolvendo múltiplos órgãos, que podem incluir alocação de recursos públicos e reformulação de políticas públicas; e d) potencial congestionamento do Judiciário caso as violações sejam enfrentadas individualmente.</w:t>
      </w:r>
    </w:p>
    <w:p w14:paraId="4045BC49" w14:textId="77777777" w:rsidR="008F7D31" w:rsidRPr="009F7C9D" w:rsidRDefault="008F7D31" w:rsidP="00E316AC">
      <w:pPr>
        <w:spacing w:after="0" w:line="240" w:lineRule="auto"/>
        <w:ind w:firstLine="709"/>
        <w:jc w:val="both"/>
        <w:rPr>
          <w:rFonts w:ascii="Arial" w:hAnsi="Arial" w:cs="Arial"/>
          <w:sz w:val="24"/>
          <w:szCs w:val="24"/>
        </w:rPr>
      </w:pPr>
      <w:r w:rsidRPr="00B6208F">
        <w:rPr>
          <w:rFonts w:ascii="Arial" w:hAnsi="Arial" w:cs="Arial"/>
          <w:sz w:val="24"/>
          <w:szCs w:val="24"/>
        </w:rPr>
        <w:t>O STF reconheceu oficialmente esse estado de coisas inconstitucional em 2023, declarando a falência estrutural das políticas públicas voltadas ao sistema prisional, diante da violação sistemática da dignidade, integridade física e psíquica das pessoas encarceradas</w:t>
      </w:r>
      <w:r>
        <w:rPr>
          <w:rFonts w:ascii="Arial" w:hAnsi="Arial" w:cs="Arial"/>
          <w:sz w:val="24"/>
          <w:szCs w:val="24"/>
        </w:rPr>
        <w:t xml:space="preserve"> (</w:t>
      </w:r>
      <w:r w:rsidRPr="00B30DB1">
        <w:rPr>
          <w:rFonts w:ascii="Arial" w:hAnsi="Arial" w:cs="Arial"/>
          <w:sz w:val="24"/>
          <w:szCs w:val="24"/>
          <w:shd w:val="clear" w:color="auto" w:fill="FFFFFF"/>
        </w:rPr>
        <w:t>Brasil. Conselho Nacional de Justiça, 2023</w:t>
      </w:r>
      <w:r>
        <w:rPr>
          <w:rFonts w:ascii="Arial" w:hAnsi="Arial" w:cs="Arial"/>
          <w:sz w:val="24"/>
          <w:szCs w:val="24"/>
          <w:shd w:val="clear" w:color="auto" w:fill="FFFFFF"/>
        </w:rPr>
        <w:t>)</w:t>
      </w:r>
      <w:r w:rsidRPr="00B30DB1">
        <w:rPr>
          <w:rFonts w:ascii="Arial" w:hAnsi="Arial" w:cs="Arial"/>
          <w:sz w:val="24"/>
          <w:szCs w:val="24"/>
          <w:shd w:val="clear" w:color="auto" w:fill="FFFFFF"/>
        </w:rPr>
        <w:t>.</w:t>
      </w:r>
      <w:r w:rsidRPr="00B30DB1">
        <w:rPr>
          <w:rStyle w:val="uv3um"/>
          <w:rFonts w:ascii="Arial" w:hAnsi="Arial" w:cs="Arial"/>
          <w:sz w:val="27"/>
          <w:szCs w:val="27"/>
          <w:shd w:val="clear" w:color="auto" w:fill="FFFFFF"/>
        </w:rPr>
        <w:t> </w:t>
      </w:r>
      <w:r w:rsidRPr="00B6208F">
        <w:rPr>
          <w:rFonts w:ascii="Arial" w:hAnsi="Arial" w:cs="Arial"/>
          <w:sz w:val="24"/>
          <w:szCs w:val="24"/>
        </w:rPr>
        <w:t xml:space="preserve">Entre as medidas alternativas para mitigar a </w:t>
      </w:r>
      <w:r w:rsidRPr="009F7C9D">
        <w:rPr>
          <w:rFonts w:ascii="Arial" w:hAnsi="Arial" w:cs="Arial"/>
          <w:sz w:val="24"/>
          <w:szCs w:val="24"/>
        </w:rPr>
        <w:t xml:space="preserve">superlotação e precariedade do sistema prisional, o </w:t>
      </w:r>
      <w:r>
        <w:rPr>
          <w:rFonts w:ascii="Arial" w:hAnsi="Arial" w:cs="Arial"/>
          <w:sz w:val="24"/>
          <w:szCs w:val="24"/>
        </w:rPr>
        <w:t>ME</w:t>
      </w:r>
      <w:r w:rsidRPr="009F7C9D">
        <w:rPr>
          <w:rFonts w:ascii="Arial" w:hAnsi="Arial" w:cs="Arial"/>
          <w:sz w:val="24"/>
          <w:szCs w:val="24"/>
        </w:rPr>
        <w:t xml:space="preserve"> tem ganhado destaque, especialmente em estados como o Amazonas.</w:t>
      </w:r>
    </w:p>
    <w:p w14:paraId="4E552365" w14:textId="77777777" w:rsidR="008F7D31" w:rsidRDefault="008F7D31" w:rsidP="00E316AC">
      <w:pPr>
        <w:spacing w:after="0" w:line="240" w:lineRule="auto"/>
        <w:ind w:firstLine="709"/>
        <w:jc w:val="both"/>
        <w:rPr>
          <w:rFonts w:ascii="Arial" w:hAnsi="Arial" w:cs="Arial"/>
          <w:sz w:val="24"/>
          <w:szCs w:val="24"/>
        </w:rPr>
      </w:pPr>
      <w:r w:rsidRPr="00224196">
        <w:rPr>
          <w:rFonts w:ascii="Arial" w:hAnsi="Arial" w:cs="Arial"/>
          <w:sz w:val="24"/>
          <w:szCs w:val="24"/>
        </w:rPr>
        <w:t xml:space="preserve">No Amazonas, o </w:t>
      </w:r>
      <w:r>
        <w:rPr>
          <w:rFonts w:ascii="Arial" w:hAnsi="Arial" w:cs="Arial"/>
          <w:sz w:val="24"/>
          <w:szCs w:val="24"/>
        </w:rPr>
        <w:t>monitoramento eletrônico</w:t>
      </w:r>
      <w:r w:rsidRPr="00224196">
        <w:rPr>
          <w:rFonts w:ascii="Arial" w:hAnsi="Arial" w:cs="Arial"/>
          <w:sz w:val="24"/>
          <w:szCs w:val="24"/>
        </w:rPr>
        <w:t xml:space="preserve"> com utilização de tornozeleiras eletrônicas foi implementado a partir de 2014,</w:t>
      </w:r>
      <w:r>
        <w:rPr>
          <w:rFonts w:ascii="Arial" w:hAnsi="Arial" w:cs="Arial"/>
          <w:sz w:val="24"/>
          <w:szCs w:val="24"/>
        </w:rPr>
        <w:t xml:space="preserve"> </w:t>
      </w:r>
      <w:r w:rsidRPr="00257D06">
        <w:rPr>
          <w:rFonts w:ascii="Arial" w:hAnsi="Arial" w:cs="Arial"/>
          <w:sz w:val="24"/>
          <w:szCs w:val="24"/>
        </w:rPr>
        <w:t xml:space="preserve">como alternativa para </w:t>
      </w:r>
      <w:r>
        <w:rPr>
          <w:rFonts w:ascii="Arial" w:hAnsi="Arial" w:cs="Arial"/>
          <w:sz w:val="24"/>
          <w:szCs w:val="24"/>
        </w:rPr>
        <w:t xml:space="preserve">o regime </w:t>
      </w:r>
      <w:r w:rsidRPr="00257D06">
        <w:rPr>
          <w:rFonts w:ascii="Arial" w:hAnsi="Arial" w:cs="Arial"/>
          <w:sz w:val="24"/>
          <w:szCs w:val="24"/>
        </w:rPr>
        <w:t xml:space="preserve">semiaberto e </w:t>
      </w:r>
      <w:r>
        <w:rPr>
          <w:rFonts w:ascii="Arial" w:hAnsi="Arial" w:cs="Arial"/>
          <w:sz w:val="24"/>
          <w:szCs w:val="24"/>
        </w:rPr>
        <w:t>que fosse utilizada</w:t>
      </w:r>
      <w:r w:rsidRPr="00257D06">
        <w:rPr>
          <w:rFonts w:ascii="Arial" w:hAnsi="Arial" w:cs="Arial"/>
          <w:sz w:val="24"/>
          <w:szCs w:val="24"/>
        </w:rPr>
        <w:t xml:space="preserve"> como medida cautelar, ou penas restritivas.</w:t>
      </w:r>
      <w:r w:rsidRPr="00224196">
        <w:rPr>
          <w:rFonts w:ascii="Arial" w:hAnsi="Arial" w:cs="Arial"/>
          <w:sz w:val="24"/>
          <w:szCs w:val="24"/>
        </w:rPr>
        <w:t xml:space="preserve"> </w:t>
      </w:r>
      <w:r>
        <w:rPr>
          <w:rFonts w:ascii="Arial" w:hAnsi="Arial" w:cs="Arial"/>
          <w:sz w:val="24"/>
          <w:szCs w:val="24"/>
        </w:rPr>
        <w:t>O</w:t>
      </w:r>
      <w:r w:rsidRPr="00224196">
        <w:rPr>
          <w:rFonts w:ascii="Arial" w:hAnsi="Arial" w:cs="Arial"/>
          <w:sz w:val="24"/>
          <w:szCs w:val="24"/>
        </w:rPr>
        <w:t xml:space="preserve"> serviço de rastreamento e identificação por rádio frequência dos presos passou a ser utilizado.</w:t>
      </w:r>
    </w:p>
    <w:p w14:paraId="333BC298" w14:textId="77777777" w:rsidR="008F7D31" w:rsidRDefault="008F7D31" w:rsidP="00E316AC">
      <w:pPr>
        <w:spacing w:after="0" w:line="240" w:lineRule="auto"/>
        <w:ind w:firstLine="709"/>
        <w:jc w:val="both"/>
        <w:rPr>
          <w:rFonts w:ascii="Arial" w:hAnsi="Arial" w:cs="Arial"/>
          <w:sz w:val="24"/>
          <w:szCs w:val="24"/>
        </w:rPr>
      </w:pPr>
      <w:r w:rsidRPr="006C0CD5">
        <w:rPr>
          <w:rFonts w:ascii="Arial" w:hAnsi="Arial" w:cs="Arial"/>
          <w:sz w:val="24"/>
          <w:szCs w:val="24"/>
        </w:rPr>
        <w:t xml:space="preserve">Segundo </w:t>
      </w:r>
      <w:bookmarkStart w:id="3" w:name="_Hlk202130835"/>
      <w:proofErr w:type="spellStart"/>
      <w:r w:rsidRPr="006C0CD5">
        <w:rPr>
          <w:rFonts w:ascii="Arial" w:hAnsi="Arial" w:cs="Arial"/>
          <w:sz w:val="24"/>
          <w:szCs w:val="24"/>
        </w:rPr>
        <w:t>Pozzeti</w:t>
      </w:r>
      <w:proofErr w:type="spellEnd"/>
      <w:r w:rsidRPr="006C0CD5">
        <w:rPr>
          <w:rFonts w:ascii="Arial" w:hAnsi="Arial" w:cs="Arial"/>
          <w:sz w:val="24"/>
          <w:szCs w:val="24"/>
        </w:rPr>
        <w:t>; Cavalcante; Campos (</w:t>
      </w:r>
      <w:r>
        <w:rPr>
          <w:rFonts w:ascii="Arial" w:hAnsi="Arial" w:cs="Arial"/>
          <w:sz w:val="24"/>
          <w:szCs w:val="24"/>
        </w:rPr>
        <w:t>2022</w:t>
      </w:r>
      <w:r w:rsidRPr="006C0CD5">
        <w:rPr>
          <w:rFonts w:ascii="Arial" w:hAnsi="Arial" w:cs="Arial"/>
          <w:sz w:val="24"/>
          <w:szCs w:val="24"/>
        </w:rPr>
        <w:t xml:space="preserve">), </w:t>
      </w:r>
      <w:bookmarkEnd w:id="3"/>
      <w:r w:rsidRPr="006C0CD5">
        <w:rPr>
          <w:rFonts w:ascii="Arial" w:hAnsi="Arial" w:cs="Arial"/>
          <w:sz w:val="24"/>
          <w:szCs w:val="24"/>
        </w:rPr>
        <w:t>o regime semiaberto no Estado do Amazona</w:t>
      </w:r>
      <w:r>
        <w:rPr>
          <w:rFonts w:ascii="Arial" w:hAnsi="Arial" w:cs="Arial"/>
          <w:sz w:val="24"/>
          <w:szCs w:val="24"/>
        </w:rPr>
        <w:t>s</w:t>
      </w:r>
      <w:r w:rsidRPr="006C0CD5">
        <w:rPr>
          <w:rFonts w:ascii="Arial" w:hAnsi="Arial" w:cs="Arial"/>
          <w:sz w:val="24"/>
          <w:szCs w:val="24"/>
        </w:rPr>
        <w:t xml:space="preserve"> diverge do modelo tradicional, pois </w:t>
      </w:r>
      <w:r>
        <w:rPr>
          <w:rFonts w:ascii="Arial" w:hAnsi="Arial" w:cs="Arial"/>
          <w:sz w:val="24"/>
          <w:szCs w:val="24"/>
        </w:rPr>
        <w:t xml:space="preserve">prevê </w:t>
      </w:r>
      <w:r w:rsidRPr="006C0CD5">
        <w:rPr>
          <w:rFonts w:ascii="Arial" w:hAnsi="Arial" w:cs="Arial"/>
          <w:sz w:val="24"/>
          <w:szCs w:val="24"/>
        </w:rPr>
        <w:t>o uso de tornozeleiras eletrônicas em substituição ao encarceramento no estabelecimento prisional institucional. Para os autores, as mudanças ocorreram no ano de 2018</w:t>
      </w:r>
      <w:r>
        <w:rPr>
          <w:rFonts w:ascii="Arial" w:hAnsi="Arial" w:cs="Arial"/>
          <w:sz w:val="24"/>
          <w:szCs w:val="24"/>
        </w:rPr>
        <w:t>, a</w:t>
      </w:r>
      <w:r w:rsidRPr="006C0CD5">
        <w:rPr>
          <w:rFonts w:ascii="Arial" w:hAnsi="Arial" w:cs="Arial"/>
          <w:sz w:val="24"/>
          <w:szCs w:val="24"/>
        </w:rPr>
        <w:t>pós uma decisão judicial que</w:t>
      </w:r>
      <w:r>
        <w:rPr>
          <w:rFonts w:ascii="Arial" w:hAnsi="Arial" w:cs="Arial"/>
          <w:sz w:val="24"/>
          <w:szCs w:val="24"/>
        </w:rPr>
        <w:t>,</w:t>
      </w:r>
      <w:r w:rsidRPr="006C0CD5">
        <w:rPr>
          <w:rFonts w:ascii="Arial" w:hAnsi="Arial" w:cs="Arial"/>
          <w:sz w:val="24"/>
          <w:szCs w:val="24"/>
        </w:rPr>
        <w:t xml:space="preserve"> ordenou a desativação do regime semiaberto do Complexo Penitenciário Anísio Jobim (COMPAJ)</w:t>
      </w:r>
      <w:r>
        <w:rPr>
          <w:rFonts w:ascii="Arial" w:hAnsi="Arial" w:cs="Arial"/>
          <w:sz w:val="24"/>
          <w:szCs w:val="24"/>
        </w:rPr>
        <w:t xml:space="preserve">, e </w:t>
      </w:r>
      <w:r w:rsidRPr="006C0CD5">
        <w:rPr>
          <w:rFonts w:ascii="Arial" w:hAnsi="Arial" w:cs="Arial"/>
          <w:sz w:val="24"/>
          <w:szCs w:val="24"/>
        </w:rPr>
        <w:t>a transferência dos detentos dessa unidade para o monitoramento eletrônico, desde que cumprissem os critérios objetivos e subjetivos relacionados à individualização da pena.</w:t>
      </w:r>
    </w:p>
    <w:p w14:paraId="16A50016" w14:textId="77777777" w:rsidR="008F7D31" w:rsidRPr="009F7C9D" w:rsidRDefault="008F7D31" w:rsidP="00E316AC">
      <w:pPr>
        <w:spacing w:after="0" w:line="240" w:lineRule="auto"/>
        <w:ind w:firstLine="709"/>
        <w:jc w:val="both"/>
        <w:rPr>
          <w:rFonts w:ascii="Arial" w:hAnsi="Arial" w:cs="Arial"/>
          <w:sz w:val="24"/>
          <w:szCs w:val="24"/>
        </w:rPr>
      </w:pPr>
      <w:r w:rsidRPr="009F7C9D">
        <w:rPr>
          <w:rFonts w:ascii="Arial" w:hAnsi="Arial" w:cs="Arial"/>
          <w:sz w:val="24"/>
          <w:szCs w:val="24"/>
        </w:rPr>
        <w:t>Assim, o monitoramento eletrônico no Amazonas configura uma importante ferramenta</w:t>
      </w:r>
      <w:r>
        <w:rPr>
          <w:rFonts w:ascii="Arial" w:hAnsi="Arial" w:cs="Arial"/>
          <w:sz w:val="24"/>
          <w:szCs w:val="24"/>
        </w:rPr>
        <w:t xml:space="preserve">, </w:t>
      </w:r>
      <w:r w:rsidRPr="009F7C9D">
        <w:rPr>
          <w:rFonts w:ascii="Arial" w:hAnsi="Arial" w:cs="Arial"/>
          <w:sz w:val="24"/>
          <w:szCs w:val="24"/>
        </w:rPr>
        <w:t>permitindo que indivíduos cumpram suas penas fora do ambiente carcerário, o que contribui para a redução da superlotação e para a promoção de condições mais dignas, em consonância com as determinações legais e vigentes no país, bem como aos princípios constitucionais de respeito aos direitos humanos.</w:t>
      </w:r>
    </w:p>
    <w:p w14:paraId="53010EAD" w14:textId="77777777" w:rsidR="008F7D31" w:rsidRPr="00BD77B5" w:rsidRDefault="008F7D31" w:rsidP="00E316AC">
      <w:pPr>
        <w:spacing w:after="0" w:line="240" w:lineRule="auto"/>
        <w:ind w:firstLine="709"/>
        <w:jc w:val="both"/>
        <w:rPr>
          <w:rFonts w:ascii="Arial" w:hAnsi="Arial" w:cs="Arial"/>
          <w:sz w:val="24"/>
          <w:szCs w:val="24"/>
        </w:rPr>
      </w:pPr>
      <w:r>
        <w:rPr>
          <w:rFonts w:ascii="Arial" w:hAnsi="Arial" w:cs="Arial"/>
          <w:sz w:val="24"/>
          <w:szCs w:val="24"/>
        </w:rPr>
        <w:t>Mesmo sendo um tema importante</w:t>
      </w:r>
      <w:r w:rsidRPr="00BD77B5">
        <w:rPr>
          <w:rFonts w:ascii="Arial" w:hAnsi="Arial" w:cs="Arial"/>
          <w:sz w:val="24"/>
          <w:szCs w:val="24"/>
        </w:rPr>
        <w:t xml:space="preserve"> ao Sistema de Justiça Criminal brasileiro, estudos acadêmicos focados nas particularidades, características demográficas, socioeconômicas e estruturas de administração penitenciária dos estados, como o Amazonas, ainda são escassos. Embora algumas pesquisas abordem</w:t>
      </w:r>
      <w:r>
        <w:rPr>
          <w:rFonts w:ascii="Arial" w:hAnsi="Arial" w:cs="Arial"/>
          <w:sz w:val="24"/>
          <w:szCs w:val="24"/>
        </w:rPr>
        <w:t xml:space="preserve"> </w:t>
      </w:r>
      <w:r w:rsidRPr="00BD77B5">
        <w:rPr>
          <w:rFonts w:ascii="Arial" w:hAnsi="Arial" w:cs="Arial"/>
          <w:sz w:val="24"/>
          <w:szCs w:val="24"/>
        </w:rPr>
        <w:t xml:space="preserve">o </w:t>
      </w:r>
      <w:r>
        <w:rPr>
          <w:rFonts w:ascii="Arial" w:hAnsi="Arial" w:cs="Arial"/>
          <w:sz w:val="24"/>
          <w:szCs w:val="24"/>
        </w:rPr>
        <w:t xml:space="preserve">Monitoramento Eletrônico (ME) </w:t>
      </w:r>
      <w:r w:rsidRPr="00BD77B5">
        <w:rPr>
          <w:rFonts w:ascii="Arial" w:hAnsi="Arial" w:cs="Arial"/>
          <w:sz w:val="24"/>
          <w:szCs w:val="24"/>
        </w:rPr>
        <w:t>como uma alternativa ao cumprimento de pena no regime semiaberto, os desafios específicos enfrentados pela administração penitenciária do Amazonas na implementação e operação desses sistemas carecem de investigação mais aprofundada.</w:t>
      </w:r>
    </w:p>
    <w:p w14:paraId="6A9CF603" w14:textId="77777777" w:rsidR="008F7D31" w:rsidRPr="009F7C9D" w:rsidRDefault="008F7D31" w:rsidP="00E316AC">
      <w:pPr>
        <w:spacing w:after="0" w:line="240" w:lineRule="auto"/>
        <w:ind w:firstLine="709"/>
        <w:jc w:val="both"/>
        <w:rPr>
          <w:rFonts w:ascii="Arial" w:hAnsi="Arial" w:cs="Arial"/>
          <w:sz w:val="24"/>
          <w:szCs w:val="24"/>
        </w:rPr>
      </w:pPr>
      <w:r>
        <w:rPr>
          <w:rFonts w:ascii="Arial" w:hAnsi="Arial" w:cs="Arial"/>
          <w:sz w:val="24"/>
          <w:szCs w:val="24"/>
        </w:rPr>
        <w:t>Nesse sentido, o</w:t>
      </w:r>
      <w:r w:rsidRPr="009F7C9D">
        <w:rPr>
          <w:rFonts w:ascii="Arial" w:hAnsi="Arial" w:cs="Arial"/>
          <w:sz w:val="24"/>
          <w:szCs w:val="24"/>
        </w:rPr>
        <w:t xml:space="preserve"> estudo</w:t>
      </w:r>
      <w:r>
        <w:rPr>
          <w:rFonts w:ascii="Arial" w:hAnsi="Arial" w:cs="Arial"/>
          <w:sz w:val="24"/>
          <w:szCs w:val="24"/>
        </w:rPr>
        <w:t xml:space="preserve"> deste artigo</w:t>
      </w:r>
      <w:r w:rsidRPr="009F7C9D">
        <w:rPr>
          <w:rFonts w:ascii="Arial" w:hAnsi="Arial" w:cs="Arial"/>
          <w:sz w:val="24"/>
          <w:szCs w:val="24"/>
        </w:rPr>
        <w:t xml:space="preserve"> busca compreender as dificuldades concretas vivenciadas pela administração penitenciária do Amazonas na implementação e operação de sistemas de m</w:t>
      </w:r>
      <w:r>
        <w:rPr>
          <w:rFonts w:ascii="Arial" w:hAnsi="Arial" w:cs="Arial"/>
          <w:sz w:val="24"/>
          <w:szCs w:val="24"/>
        </w:rPr>
        <w:t>onitoração eletrônica</w:t>
      </w:r>
      <w:r w:rsidRPr="009F7C9D">
        <w:rPr>
          <w:rFonts w:ascii="Arial" w:hAnsi="Arial" w:cs="Arial"/>
          <w:sz w:val="24"/>
          <w:szCs w:val="24"/>
        </w:rPr>
        <w:t>. A análise dessas dificuldades é crucial para identificar os obstáculos que podem comprometer a efetividade da medida como alternativa ao encarceramento tradicional e como ferramenta de reinserção social.</w:t>
      </w:r>
    </w:p>
    <w:p w14:paraId="2296B1E6" w14:textId="77777777" w:rsidR="008F7D31" w:rsidRPr="009F7C9D" w:rsidRDefault="008F7D31" w:rsidP="00E316AC">
      <w:pPr>
        <w:spacing w:after="0" w:line="240" w:lineRule="auto"/>
        <w:ind w:firstLine="709"/>
        <w:jc w:val="both"/>
        <w:rPr>
          <w:rFonts w:ascii="Arial" w:hAnsi="Arial" w:cs="Arial"/>
          <w:sz w:val="24"/>
          <w:szCs w:val="24"/>
        </w:rPr>
      </w:pPr>
      <w:r w:rsidRPr="009F7C9D">
        <w:rPr>
          <w:rFonts w:ascii="Arial" w:hAnsi="Arial" w:cs="Arial"/>
          <w:sz w:val="24"/>
          <w:szCs w:val="24"/>
        </w:rPr>
        <w:t>Ao lançar luz sobre os desafios específicos do contexto amazonense, busca-se estratégias mais eficazes e adaptadas à realidade local, visando otimizar a aplicação da monitoração eletrônica e garantir o respeito aos direitos fundamentais dos indivíduos monitorados. Ademais, a pesquisa busca fomentar a discussão e a troca de experiências entre diferentes estados, possibilitando o aprimoramento das políticas e práticas relacionadas à monitoração eletrônica em todo o país, pois para a construção de um conhecimento mais aprofundado sobre a temática, oferecendo subsídios para o aprimoramento da política de monitoração eletrônica e para a efetivação de seus potenciais benefícios no sistema de justiça criminal.</w:t>
      </w:r>
    </w:p>
    <w:p w14:paraId="0A33921C" w14:textId="77777777" w:rsidR="008F7D31" w:rsidRPr="00CD6D63" w:rsidRDefault="008F7D31" w:rsidP="00E316AC">
      <w:pPr>
        <w:spacing w:after="0" w:line="240" w:lineRule="auto"/>
        <w:ind w:firstLine="709"/>
        <w:jc w:val="both"/>
        <w:rPr>
          <w:rFonts w:ascii="Arial" w:hAnsi="Arial" w:cs="Arial"/>
          <w:sz w:val="24"/>
          <w:szCs w:val="24"/>
        </w:rPr>
      </w:pPr>
      <w:r w:rsidRPr="00CD6D63">
        <w:rPr>
          <w:rFonts w:ascii="Arial" w:hAnsi="Arial" w:cs="Arial"/>
          <w:sz w:val="24"/>
          <w:szCs w:val="24"/>
        </w:rPr>
        <w:t>Dessa maneira, a questão norteadora desta pesquisa busca identificar quais os principais desafios enfrentados pela administração Penitenciária do Estado Amazonas na operacionalização de sistemas de monitoração eletrônica no cumprimento das medidas</w:t>
      </w:r>
      <w:r>
        <w:rPr>
          <w:rFonts w:ascii="Arial" w:hAnsi="Arial" w:cs="Arial"/>
          <w:sz w:val="24"/>
          <w:szCs w:val="24"/>
        </w:rPr>
        <w:t xml:space="preserve"> alternativas ao regime fechado.</w:t>
      </w:r>
    </w:p>
    <w:p w14:paraId="7778EF92" w14:textId="6D28CFE7" w:rsidR="008F7D31" w:rsidRPr="00CD6D63" w:rsidRDefault="008F7D31" w:rsidP="00E316AC">
      <w:pPr>
        <w:spacing w:after="0" w:line="240" w:lineRule="auto"/>
        <w:ind w:firstLine="709"/>
        <w:jc w:val="both"/>
        <w:rPr>
          <w:rFonts w:ascii="Arial" w:hAnsi="Arial" w:cs="Arial"/>
          <w:sz w:val="24"/>
          <w:szCs w:val="24"/>
        </w:rPr>
      </w:pPr>
      <w:r>
        <w:rPr>
          <w:rFonts w:ascii="Arial" w:hAnsi="Arial" w:cs="Arial"/>
          <w:sz w:val="24"/>
          <w:szCs w:val="24"/>
        </w:rPr>
        <w:t xml:space="preserve">Para encontrar-se possíveis respostas a essa questão, traçar-se-á o seguinte caminho: </w:t>
      </w:r>
      <w:r w:rsidRPr="00CD6D63">
        <w:rPr>
          <w:rFonts w:ascii="Arial" w:hAnsi="Arial" w:cs="Arial"/>
          <w:sz w:val="24"/>
          <w:szCs w:val="24"/>
        </w:rPr>
        <w:t xml:space="preserve">(1) Descrever o início da implementação da monitoração eletrônica no Amazonas; (2) Analisar a infraestrutura tecnológica disponível para a implementação e operação do sistema de monitoração eletrônica no regime semiaberto pela administração penitenciária do Amazonas, incluindo a aquisição, manutenção </w:t>
      </w:r>
      <w:r>
        <w:rPr>
          <w:rFonts w:ascii="Arial" w:hAnsi="Arial" w:cs="Arial"/>
          <w:sz w:val="24"/>
          <w:szCs w:val="24"/>
        </w:rPr>
        <w:t>e substituição dos equipamentos;</w:t>
      </w:r>
      <w:r w:rsidRPr="00CD6D63">
        <w:rPr>
          <w:rFonts w:ascii="Arial" w:hAnsi="Arial" w:cs="Arial"/>
          <w:sz w:val="24"/>
          <w:szCs w:val="24"/>
        </w:rPr>
        <w:t xml:space="preserve"> (3) Analisar as legislações e normativas pertinentes, bem como os procedimentos e protocolos existentes para a aplicação e o acompanhamento da monitoração eletrônica no regime semiaberto no Amazonas. </w:t>
      </w:r>
    </w:p>
    <w:p w14:paraId="758BA51A" w14:textId="77777777" w:rsidR="008F7D31" w:rsidRPr="00DB085E" w:rsidRDefault="008F7D31" w:rsidP="008F7D31">
      <w:pPr>
        <w:spacing w:after="0" w:line="240" w:lineRule="auto"/>
        <w:jc w:val="both"/>
        <w:rPr>
          <w:rFonts w:ascii="Arial" w:hAnsi="Arial" w:cs="Arial"/>
          <w:b/>
          <w:bCs/>
          <w:sz w:val="24"/>
          <w:szCs w:val="24"/>
        </w:rPr>
      </w:pPr>
    </w:p>
    <w:p w14:paraId="0949DA66" w14:textId="0E3DA549" w:rsidR="008F7D31" w:rsidRPr="00655A9B" w:rsidRDefault="008F7D31" w:rsidP="008F7D31">
      <w:pPr>
        <w:spacing w:after="0" w:line="240" w:lineRule="auto"/>
        <w:jc w:val="both"/>
        <w:rPr>
          <w:rFonts w:ascii="Arial" w:hAnsi="Arial" w:cs="Arial"/>
          <w:b/>
          <w:bCs/>
          <w:sz w:val="24"/>
          <w:szCs w:val="24"/>
        </w:rPr>
      </w:pPr>
      <w:r w:rsidRPr="00655A9B">
        <w:rPr>
          <w:rFonts w:ascii="Arial" w:hAnsi="Arial" w:cs="Arial"/>
          <w:b/>
          <w:bCs/>
          <w:sz w:val="24"/>
          <w:szCs w:val="24"/>
        </w:rPr>
        <w:t>M</w:t>
      </w:r>
      <w:r w:rsidR="00E316AC" w:rsidRPr="00655A9B">
        <w:rPr>
          <w:rFonts w:ascii="Arial" w:hAnsi="Arial" w:cs="Arial"/>
          <w:b/>
          <w:bCs/>
          <w:sz w:val="24"/>
          <w:szCs w:val="24"/>
        </w:rPr>
        <w:t>onitoração eletrônica: antecedentes e condicionantes do desenvolvimento da monitoração eletrônica no sistema penal</w:t>
      </w:r>
    </w:p>
    <w:p w14:paraId="714C2995" w14:textId="77777777" w:rsidR="008F7D31" w:rsidRPr="009F7C9D" w:rsidRDefault="008F7D31" w:rsidP="008F7D31">
      <w:pPr>
        <w:pStyle w:val="NormalWeb"/>
        <w:spacing w:before="0" w:beforeAutospacing="0" w:after="0" w:afterAutospacing="0"/>
        <w:ind w:firstLine="851"/>
        <w:jc w:val="both"/>
        <w:rPr>
          <w:rFonts w:ascii="Arial" w:hAnsi="Arial" w:cs="Arial"/>
          <w:b/>
          <w:bCs/>
        </w:rPr>
      </w:pPr>
    </w:p>
    <w:p w14:paraId="11E4319E" w14:textId="77777777" w:rsidR="008F7D31" w:rsidRPr="009F7C9D" w:rsidRDefault="008F7D31" w:rsidP="008F7D31">
      <w:pPr>
        <w:pStyle w:val="NormalWeb"/>
        <w:spacing w:before="0" w:beforeAutospacing="0" w:after="0" w:afterAutospacing="0"/>
        <w:ind w:firstLine="851"/>
        <w:jc w:val="both"/>
        <w:rPr>
          <w:rFonts w:ascii="Arial" w:hAnsi="Arial" w:cs="Arial"/>
        </w:rPr>
      </w:pPr>
      <w:r w:rsidRPr="009F7C9D">
        <w:rPr>
          <w:rFonts w:ascii="Arial" w:hAnsi="Arial" w:cs="Arial"/>
        </w:rPr>
        <w:t xml:space="preserve">A investigação acerca das raízes da tecnologia de </w:t>
      </w:r>
      <w:r>
        <w:rPr>
          <w:rFonts w:ascii="Arial" w:hAnsi="Arial" w:cs="Arial"/>
        </w:rPr>
        <w:t>M</w:t>
      </w:r>
      <w:r w:rsidRPr="009F7C9D">
        <w:rPr>
          <w:rFonts w:ascii="Arial" w:hAnsi="Arial" w:cs="Arial"/>
        </w:rPr>
        <w:t xml:space="preserve">onitoração </w:t>
      </w:r>
      <w:r>
        <w:rPr>
          <w:rFonts w:ascii="Arial" w:hAnsi="Arial" w:cs="Arial"/>
        </w:rPr>
        <w:t>E</w:t>
      </w:r>
      <w:r w:rsidRPr="009F7C9D">
        <w:rPr>
          <w:rFonts w:ascii="Arial" w:hAnsi="Arial" w:cs="Arial"/>
        </w:rPr>
        <w:t>letrônica (ME) revela-se um procedimento fundamental não só para entender os objetivos originais que impulsionaram sua c</w:t>
      </w:r>
      <w:r>
        <w:rPr>
          <w:rFonts w:ascii="Arial" w:hAnsi="Arial" w:cs="Arial"/>
        </w:rPr>
        <w:t>oncepção</w:t>
      </w:r>
      <w:r w:rsidRPr="009F7C9D">
        <w:rPr>
          <w:rFonts w:ascii="Arial" w:hAnsi="Arial" w:cs="Arial"/>
        </w:rPr>
        <w:t>, mas também para promover uma reflexão crítica a respeito dos conflitos e obstáculos que permeiam sua utilização na atualidade.</w:t>
      </w:r>
    </w:p>
    <w:p w14:paraId="7A5030DE" w14:textId="77777777" w:rsidR="008F7D31" w:rsidRPr="009F7C9D" w:rsidRDefault="008F7D31" w:rsidP="008F7D31">
      <w:pPr>
        <w:pStyle w:val="NormalWeb"/>
        <w:spacing w:before="0" w:beforeAutospacing="0" w:after="0" w:afterAutospacing="0"/>
        <w:ind w:firstLine="851"/>
        <w:jc w:val="both"/>
        <w:rPr>
          <w:rFonts w:ascii="Arial" w:hAnsi="Arial" w:cs="Arial"/>
        </w:rPr>
      </w:pPr>
      <w:r w:rsidRPr="009F7C9D">
        <w:rPr>
          <w:rFonts w:ascii="Arial" w:hAnsi="Arial" w:cs="Arial"/>
        </w:rPr>
        <w:t>Investigar a origem da tecnologia d</w:t>
      </w:r>
      <w:r>
        <w:rPr>
          <w:rFonts w:ascii="Arial" w:hAnsi="Arial" w:cs="Arial"/>
        </w:rPr>
        <w:t>a</w:t>
      </w:r>
      <w:r w:rsidRPr="009F7C9D">
        <w:rPr>
          <w:rFonts w:ascii="Arial" w:hAnsi="Arial" w:cs="Arial"/>
        </w:rPr>
        <w:t xml:space="preserve"> </w:t>
      </w:r>
      <w:r>
        <w:rPr>
          <w:rFonts w:ascii="Arial" w:hAnsi="Arial" w:cs="Arial"/>
        </w:rPr>
        <w:t>ME</w:t>
      </w:r>
      <w:r w:rsidRPr="009F7C9D">
        <w:rPr>
          <w:rFonts w:ascii="Arial" w:hAnsi="Arial" w:cs="Arial"/>
        </w:rPr>
        <w:t xml:space="preserve"> configura-se como um exercício relevante não apenas para a compreensão dos propósitos iniciais que motivaram seu desenvolvimento, mas também para a análise crítica dos dilemas e desafios enfrentados em sua aplicação contemporânea.</w:t>
      </w:r>
    </w:p>
    <w:p w14:paraId="716FB6DF" w14:textId="77777777" w:rsidR="008F7D31" w:rsidRPr="00891274" w:rsidRDefault="008F7D31" w:rsidP="008F7D31">
      <w:pPr>
        <w:pStyle w:val="NormalWeb"/>
        <w:spacing w:before="0" w:beforeAutospacing="0" w:after="0" w:afterAutospacing="0"/>
        <w:ind w:firstLine="851"/>
        <w:jc w:val="both"/>
        <w:rPr>
          <w:rFonts w:ascii="Arial" w:hAnsi="Arial" w:cs="Arial"/>
        </w:rPr>
      </w:pPr>
      <w:r w:rsidRPr="009F7C9D">
        <w:rPr>
          <w:rFonts w:ascii="Arial" w:hAnsi="Arial" w:cs="Arial"/>
        </w:rPr>
        <w:t xml:space="preserve">Nesse sentido, é fundamental compreender que a finalidade primordial da ME encontra-se intrinsecamente relacionada à lógica do controle social. Desde suas primeiras </w:t>
      </w:r>
      <w:r w:rsidRPr="00891274">
        <w:rPr>
          <w:rFonts w:ascii="Arial" w:hAnsi="Arial" w:cs="Arial"/>
        </w:rPr>
        <w:t>utilizações, essa tecnologia foi projetada com o objetivo de possibilitar o rastreamento contínuo e remoto de indivíduos considerados perigosos, independentemente das barreiras temporais ou espaciais. Como ressaltam Lima, Almeida e Fayet (2019), o monitoramento eletrônico tem como proposta “controlar o indivíduo que cumpre pena ou que está de alguma forma custodiado pelo Estado sem retirá-lo do seu meio social”.</w:t>
      </w:r>
    </w:p>
    <w:p w14:paraId="65C77D86"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 xml:space="preserve">Inicialmente, o desenvolvimento da tecnologia de monitoração eletrônica data ao ano de 1964, documentos vinculam os irmãos Ralph e Robert </w:t>
      </w:r>
      <w:proofErr w:type="spellStart"/>
      <w:r w:rsidRPr="00891274">
        <w:rPr>
          <w:rFonts w:ascii="Arial" w:eastAsia="Times New Roman" w:hAnsi="Arial" w:cs="Arial"/>
          <w:sz w:val="24"/>
          <w:szCs w:val="24"/>
          <w:lang w:eastAsia="pt-BR"/>
        </w:rPr>
        <w:t>Schwitzgebel</w:t>
      </w:r>
      <w:proofErr w:type="spellEnd"/>
      <w:r w:rsidRPr="00891274">
        <w:rPr>
          <w:rFonts w:ascii="Arial" w:eastAsia="Times New Roman" w:hAnsi="Arial" w:cs="Arial"/>
          <w:sz w:val="24"/>
          <w:szCs w:val="24"/>
          <w:lang w:eastAsia="pt-BR"/>
        </w:rPr>
        <w:t xml:space="preserve">, ao Comitê Científico de Experimentação Psicológica da Universidade de Harvard, que foi incipiente e voltado ao desenvolvimento de um dispositivo que poderia realizar a captação, a transmissão remota de sinais fisiológicos e comportamentais de pessoas consideradas contrária às leis e com os padrões sociais vigentes de modo pioneiro. O projeto nomeado </w:t>
      </w:r>
      <w:proofErr w:type="spellStart"/>
      <w:r w:rsidRPr="00891274">
        <w:rPr>
          <w:rFonts w:ascii="Arial" w:eastAsia="Times New Roman" w:hAnsi="Arial" w:cs="Arial"/>
          <w:i/>
          <w:iCs/>
          <w:sz w:val="24"/>
          <w:szCs w:val="24"/>
          <w:lang w:eastAsia="pt-BR"/>
        </w:rPr>
        <w:t>behavioral</w:t>
      </w:r>
      <w:proofErr w:type="spellEnd"/>
      <w:r w:rsidRPr="00891274">
        <w:rPr>
          <w:rFonts w:ascii="Arial" w:eastAsia="Times New Roman" w:hAnsi="Arial" w:cs="Arial"/>
          <w:i/>
          <w:iCs/>
          <w:sz w:val="24"/>
          <w:szCs w:val="24"/>
          <w:lang w:eastAsia="pt-BR"/>
        </w:rPr>
        <w:t xml:space="preserve"> </w:t>
      </w:r>
      <w:proofErr w:type="spellStart"/>
      <w:r w:rsidRPr="00891274">
        <w:rPr>
          <w:rFonts w:ascii="Arial" w:eastAsia="Times New Roman" w:hAnsi="Arial" w:cs="Arial"/>
          <w:i/>
          <w:iCs/>
          <w:sz w:val="24"/>
          <w:szCs w:val="24"/>
          <w:lang w:eastAsia="pt-BR"/>
        </w:rPr>
        <w:t>electronics</w:t>
      </w:r>
      <w:proofErr w:type="spellEnd"/>
      <w:r w:rsidRPr="00891274">
        <w:rPr>
          <w:rFonts w:ascii="Arial" w:eastAsia="Times New Roman" w:hAnsi="Arial" w:cs="Arial"/>
          <w:sz w:val="24"/>
          <w:szCs w:val="24"/>
          <w:lang w:eastAsia="pt-BR"/>
        </w:rPr>
        <w:t xml:space="preserve"> objetivava desenvolver uma forma inovadora e inédita que, permitisse o acompanhamento à distância de comportamentos humanos, em especial aqueles classificados como digressivos sob a ótica da psicologia experimental (</w:t>
      </w:r>
      <w:proofErr w:type="spellStart"/>
      <w:r w:rsidRPr="00891274">
        <w:rPr>
          <w:rFonts w:ascii="Arial" w:eastAsia="Times New Roman" w:hAnsi="Arial" w:cs="Arial"/>
          <w:sz w:val="24"/>
          <w:szCs w:val="24"/>
          <w:lang w:eastAsia="pt-BR"/>
        </w:rPr>
        <w:t>Schwitzgebel</w:t>
      </w:r>
      <w:proofErr w:type="spellEnd"/>
      <w:r w:rsidRPr="00891274">
        <w:rPr>
          <w:rFonts w:ascii="Arial" w:eastAsia="Times New Roman" w:hAnsi="Arial" w:cs="Arial"/>
          <w:sz w:val="24"/>
          <w:szCs w:val="24"/>
          <w:lang w:eastAsia="pt-BR"/>
        </w:rPr>
        <w:t xml:space="preserve"> </w:t>
      </w:r>
      <w:r w:rsidRPr="009B7CE0">
        <w:rPr>
          <w:rFonts w:ascii="Arial" w:eastAsia="Times New Roman" w:hAnsi="Arial" w:cs="Arial"/>
          <w:i/>
          <w:iCs/>
          <w:sz w:val="24"/>
          <w:szCs w:val="24"/>
          <w:lang w:eastAsia="pt-BR"/>
        </w:rPr>
        <w:t>et al.,</w:t>
      </w:r>
      <w:r w:rsidRPr="00891274">
        <w:rPr>
          <w:rFonts w:ascii="Arial" w:eastAsia="Times New Roman" w:hAnsi="Arial" w:cs="Arial"/>
          <w:sz w:val="24"/>
          <w:szCs w:val="24"/>
          <w:lang w:eastAsia="pt-BR"/>
        </w:rPr>
        <w:t xml:space="preserve"> 1969).</w:t>
      </w:r>
    </w:p>
    <w:p w14:paraId="312768E7"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Com esse intuito, os pesquisadores adotaram uma abordagem multidisciplinar, aliando conhecimentos das áreas de telecomunicações, engenharia eletrônica e ciência da computação, alcançando uma arquitetura técnica inédita para a época. Essa discussão de conhecimentos revelou um desenvolvimento de modelo primitivo de transmissão de dados em tempo real, o qual viria a ser reconhecido posteriormente sob a denominação de “comunicação telemática”, conceito este que sintetiza a convergência entre informática e tecnologias de comunicação com o propósito de vigiar, registrar e analisar comportamentos humanos fora do ambiente clínico ou institucional (Campello, 2019).</w:t>
      </w:r>
    </w:p>
    <w:p w14:paraId="4FF03CFC" w14:textId="77777777" w:rsidR="008F7D31" w:rsidRPr="00891274" w:rsidRDefault="008F7D31" w:rsidP="008F7D31">
      <w:pPr>
        <w:pStyle w:val="NormalWeb"/>
        <w:spacing w:before="0" w:beforeAutospacing="0" w:after="0" w:afterAutospacing="0"/>
        <w:ind w:firstLine="851"/>
        <w:jc w:val="both"/>
        <w:rPr>
          <w:rFonts w:ascii="Arial" w:hAnsi="Arial" w:cs="Arial"/>
        </w:rPr>
      </w:pPr>
      <w:r w:rsidRPr="00891274">
        <w:rPr>
          <w:rFonts w:ascii="Arial" w:hAnsi="Arial" w:cs="Arial"/>
        </w:rPr>
        <w:t xml:space="preserve">Como resultado dessas experiências, foi desenvolvido um equipamento portátil denominado </w:t>
      </w:r>
      <w:r w:rsidRPr="00891274">
        <w:rPr>
          <w:rStyle w:val="nfase"/>
          <w:rFonts w:ascii="Arial" w:hAnsi="Arial" w:cs="Arial"/>
        </w:rPr>
        <w:t>Transmissor-Ratificador de Comportamento</w:t>
      </w:r>
      <w:r w:rsidRPr="00891274">
        <w:rPr>
          <w:rFonts w:ascii="Arial" w:hAnsi="Arial" w:cs="Arial"/>
        </w:rPr>
        <w:t>, composto por bateria, sensor e um dispositivo de transmissão, que possibilitava o envio de sinais a um laboratório, no qual os dados eram convertidos em gráficos que indicavam, entre outras informações, a localização do portador (Azevedo, Souza, 2016).</w:t>
      </w:r>
    </w:p>
    <w:p w14:paraId="4E606BEF" w14:textId="77777777" w:rsidR="008F7D31" w:rsidRPr="00891274" w:rsidRDefault="008F7D31" w:rsidP="008F7D31">
      <w:pPr>
        <w:pStyle w:val="NormalWeb"/>
        <w:spacing w:before="0" w:beforeAutospacing="0" w:after="0" w:afterAutospacing="0"/>
        <w:ind w:firstLine="708"/>
        <w:jc w:val="both"/>
        <w:rPr>
          <w:rFonts w:ascii="Arial" w:hAnsi="Arial" w:cs="Arial"/>
        </w:rPr>
      </w:pPr>
      <w:r w:rsidRPr="00891274">
        <w:rPr>
          <w:rFonts w:ascii="Arial" w:hAnsi="Arial" w:cs="Arial"/>
        </w:rPr>
        <w:t xml:space="preserve">Em 1969, Ralph </w:t>
      </w:r>
      <w:proofErr w:type="spellStart"/>
      <w:r w:rsidRPr="00891274">
        <w:rPr>
          <w:rFonts w:ascii="Arial" w:hAnsi="Arial" w:cs="Arial"/>
        </w:rPr>
        <w:t>Schwitzgebel</w:t>
      </w:r>
      <w:proofErr w:type="spellEnd"/>
      <w:r w:rsidRPr="00891274">
        <w:rPr>
          <w:rFonts w:ascii="Arial" w:hAnsi="Arial" w:cs="Arial"/>
        </w:rPr>
        <w:t xml:space="preserve"> já apontava possíveis vantagens da utilização dessa tecnologia, sugerindo sua aplicação como alternativa penal ao encarceramento. No entanto, o autor também advertia quanto aos riscos de seu uso indiscriminado (</w:t>
      </w:r>
      <w:proofErr w:type="spellStart"/>
      <w:r w:rsidRPr="00891274">
        <w:rPr>
          <w:rFonts w:ascii="Arial" w:hAnsi="Arial" w:cs="Arial"/>
        </w:rPr>
        <w:t>SchwitzgebeL</w:t>
      </w:r>
      <w:proofErr w:type="spellEnd"/>
      <w:r w:rsidRPr="00891274">
        <w:rPr>
          <w:rFonts w:ascii="Arial" w:hAnsi="Arial" w:cs="Arial"/>
        </w:rPr>
        <w:t xml:space="preserve">, 1969). Entre os benefícios destacados, incluíam-se as possibilidades de emprego no campo da saúde, especialmente no monitoramento remoto de pacientes com doenças cardíacas, os quais poderiam, por meio do sistema, mobilizar ajuda médica com maior rapidez em situações de emergência caso fosse preciso. </w:t>
      </w:r>
    </w:p>
    <w:p w14:paraId="6419883D" w14:textId="77777777" w:rsidR="008F7D31" w:rsidRPr="00891274" w:rsidRDefault="008F7D31" w:rsidP="008F7D31">
      <w:pPr>
        <w:pStyle w:val="NormalWeb"/>
        <w:spacing w:before="0" w:beforeAutospacing="0" w:after="0" w:afterAutospacing="0"/>
        <w:ind w:firstLine="708"/>
        <w:jc w:val="both"/>
        <w:rPr>
          <w:rFonts w:ascii="Arial" w:hAnsi="Arial" w:cs="Arial"/>
        </w:rPr>
      </w:pPr>
      <w:r w:rsidRPr="00891274">
        <w:rPr>
          <w:rFonts w:ascii="Arial" w:hAnsi="Arial" w:cs="Arial"/>
        </w:rPr>
        <w:t>Consoante a isso, no âmbito penal, também sugeria que a tecnologia, se empregada de forma criteriosa, poderia favorecer a ampliação de direitos de pessoas reincidentes ou com transtornos mentais, promovendo sua reinserção social com maior autonomia e dignidade (</w:t>
      </w:r>
      <w:proofErr w:type="spellStart"/>
      <w:r w:rsidRPr="00891274">
        <w:rPr>
          <w:rFonts w:ascii="Arial" w:hAnsi="Arial" w:cs="Arial"/>
        </w:rPr>
        <w:t>Schwitzgebel</w:t>
      </w:r>
      <w:proofErr w:type="spellEnd"/>
      <w:r w:rsidRPr="00891274">
        <w:rPr>
          <w:rFonts w:ascii="Arial" w:hAnsi="Arial" w:cs="Arial"/>
        </w:rPr>
        <w:t xml:space="preserve"> ,1969).</w:t>
      </w:r>
    </w:p>
    <w:p w14:paraId="428C72E3" w14:textId="77777777" w:rsidR="008F7D31" w:rsidRPr="00891274" w:rsidRDefault="008F7D31" w:rsidP="008F7D31">
      <w:pPr>
        <w:pStyle w:val="NormalWeb"/>
        <w:spacing w:before="0" w:beforeAutospacing="0" w:after="0" w:afterAutospacing="0"/>
        <w:jc w:val="both"/>
        <w:rPr>
          <w:rFonts w:ascii="Arial" w:hAnsi="Arial" w:cs="Arial"/>
        </w:rPr>
      </w:pPr>
    </w:p>
    <w:p w14:paraId="2120496E" w14:textId="579DF127" w:rsidR="008F7D31" w:rsidRPr="00891274" w:rsidRDefault="008F7D31" w:rsidP="008F7D31">
      <w:pPr>
        <w:spacing w:after="0" w:line="240" w:lineRule="auto"/>
        <w:jc w:val="both"/>
        <w:rPr>
          <w:rFonts w:ascii="Arial" w:hAnsi="Arial" w:cs="Arial"/>
          <w:b/>
          <w:bCs/>
          <w:sz w:val="24"/>
          <w:szCs w:val="24"/>
        </w:rPr>
      </w:pPr>
      <w:r w:rsidRPr="00891274">
        <w:rPr>
          <w:rFonts w:ascii="Arial" w:hAnsi="Arial" w:cs="Arial"/>
          <w:b/>
          <w:bCs/>
          <w:sz w:val="24"/>
          <w:szCs w:val="24"/>
        </w:rPr>
        <w:t>A tecnologia de monitoração eletrônica: conceituação e fundamentos</w:t>
      </w:r>
    </w:p>
    <w:p w14:paraId="6EADC811" w14:textId="77777777" w:rsidR="008F7D31" w:rsidRPr="00891274" w:rsidRDefault="008F7D31" w:rsidP="008F7D31">
      <w:pPr>
        <w:spacing w:after="0" w:line="240" w:lineRule="auto"/>
        <w:ind w:firstLine="851"/>
        <w:jc w:val="both"/>
        <w:rPr>
          <w:rFonts w:ascii="Arial" w:hAnsi="Arial" w:cs="Arial"/>
          <w:b/>
          <w:bCs/>
          <w:sz w:val="24"/>
          <w:szCs w:val="24"/>
        </w:rPr>
      </w:pPr>
    </w:p>
    <w:p w14:paraId="1BE11C7A"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 xml:space="preserve">A monitoração eletrônica de pessoas tem sido considerada uma alternativa eficaz às penas privativas de liberdade, apresentando benefícios relevantes para diversos atores sociais — o Estado, os condenados e a sociedade em geral. De acordo com </w:t>
      </w:r>
      <w:proofErr w:type="spellStart"/>
      <w:r w:rsidRPr="00891274">
        <w:rPr>
          <w:rFonts w:ascii="Arial" w:eastAsia="Times New Roman" w:hAnsi="Arial" w:cs="Arial"/>
          <w:sz w:val="24"/>
          <w:szCs w:val="24"/>
          <w:lang w:eastAsia="pt-BR"/>
        </w:rPr>
        <w:t>Alzubaidi</w:t>
      </w:r>
      <w:proofErr w:type="spellEnd"/>
      <w:r w:rsidRPr="00891274">
        <w:rPr>
          <w:rFonts w:ascii="Arial" w:eastAsia="Times New Roman" w:hAnsi="Arial" w:cs="Arial"/>
          <w:sz w:val="24"/>
          <w:szCs w:val="24"/>
          <w:lang w:eastAsia="pt-BR"/>
        </w:rPr>
        <w:t xml:space="preserve"> e </w:t>
      </w:r>
      <w:proofErr w:type="spellStart"/>
      <w:r w:rsidRPr="00891274">
        <w:rPr>
          <w:rFonts w:ascii="Arial" w:eastAsia="Times New Roman" w:hAnsi="Arial" w:cs="Arial"/>
          <w:sz w:val="24"/>
          <w:szCs w:val="24"/>
          <w:lang w:eastAsia="pt-BR"/>
        </w:rPr>
        <w:t>Angawi</w:t>
      </w:r>
      <w:proofErr w:type="spellEnd"/>
      <w:r w:rsidRPr="00891274">
        <w:rPr>
          <w:rFonts w:ascii="Arial" w:eastAsia="Times New Roman" w:hAnsi="Arial" w:cs="Arial"/>
          <w:sz w:val="24"/>
          <w:szCs w:val="24"/>
          <w:lang w:eastAsia="pt-BR"/>
        </w:rPr>
        <w:t xml:space="preserve"> (2023), essa modalidade de controle penal permite mitigar os efeitos negativos do encarceramento, ao mesmo tempo em que favorece processos de reintegração social do apenado.</w:t>
      </w:r>
    </w:p>
    <w:p w14:paraId="260E482B"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Conforme observado no contexto jurídico contemporâneo, a ME constitui-se como uma estratégia de fiscalização penal mediada por tecnologias, aplicada a indivíduos em cumprimento de pena fora do sistema penitenciário tradicional. Seu propósito central é oferecer uma alternativa menos severa e mais humanizada à privação total da liberdade, promovendo, assim, a permanência do indivíduo monitorado em seu núcleo familiar, em suas relações sociais e em atividades laborais durante a execução da medida.</w:t>
      </w:r>
    </w:p>
    <w:p w14:paraId="0CF356EA"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Para a efetivação desse acompanhamento, são empregados diversos recursos tecnológicos, tais como sistemas de georreferenciamento via satélite (GPS), sensores de radiofrequência e dispositivos de verificação biométrica. Esses mecanismos são utilizados para assegurar o cumprimento das obrigações judiciais impostas ao monitorado e permitir o rastreamento em tempo real de sua localização e movimentação no espaço urbano.</w:t>
      </w:r>
    </w:p>
    <w:p w14:paraId="6E5A18CF"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hAnsi="Arial" w:cs="Arial"/>
          <w:sz w:val="24"/>
          <w:szCs w:val="24"/>
        </w:rPr>
        <w:t xml:space="preserve">Atualmente, todos os estados da federação brasileira, incluindo o Distrito Federal, adotam a ME como instrumento integrante da execução penal. Conforme preconiza o </w:t>
      </w:r>
      <w:r w:rsidRPr="00891274">
        <w:rPr>
          <w:rStyle w:val="nfase"/>
          <w:rFonts w:ascii="Arial" w:hAnsi="Arial" w:cs="Arial"/>
          <w:i w:val="0"/>
          <w:iCs w:val="0"/>
          <w:sz w:val="24"/>
          <w:szCs w:val="24"/>
        </w:rPr>
        <w:t>Modelo de Gestão para Monitoração Eletrônica de Pessoas</w:t>
      </w:r>
      <w:r w:rsidRPr="00891274">
        <w:rPr>
          <w:rFonts w:ascii="Arial" w:hAnsi="Arial" w:cs="Arial"/>
          <w:sz w:val="24"/>
          <w:szCs w:val="24"/>
        </w:rPr>
        <w:t>, tal tecnologia é concebida como um conjunto de dispositivos técnicos voltados à imposição de restrições à liberdade individual, à mediação de conflitos e à prevenção de violências. Trata-se, portanto, de uma medida alternativa ao encarceramento, embora mantenha finalidades punitivas e preventivas. Esses dispositivos permitem o rastreamento contínuo e acurado da geolocalização de indivíduos submetidos à medida, viabilizando uma vigilância remota e indireta, com o propósito central de contribuir para a redução gradual da população carcerária</w:t>
      </w:r>
      <w:r w:rsidRPr="00891274">
        <w:rPr>
          <w:rFonts w:ascii="Arial" w:eastAsia="Times New Roman" w:hAnsi="Arial" w:cs="Arial"/>
          <w:sz w:val="24"/>
          <w:szCs w:val="24"/>
          <w:lang w:eastAsia="pt-BR"/>
        </w:rPr>
        <w:t xml:space="preserve"> (Pimenta, 2017).</w:t>
      </w:r>
    </w:p>
    <w:p w14:paraId="1176BA2F"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Nesse sentido, a promulgação da Lei nº 12.258/2010 representou um marco regulatório importante ao alterar o Código Penal de 1940 e a Lei de Execução Penal de 1984, introduzindo a possibilidade do uso da monitoração eletrônica como instrumento de fiscalização em situações específicas, como nas saídas temporárias concedidas a presos do regime semiaberto e na aplicação da prisão domiciliar. Inicialmente concebida para atuar na fase de execução penal, a ME funcionou, na prática, como mecanismo de ampliação do controle penal, intensificando a supervisão sobre indivíduos em cumprimento de pena fora dos muros prisionais. Cabe destacar que, antes da vigência da referida norma, os beneficiários dessas medidas gozavam do direito sem qualquer forma de controle georreferenciado. (Pimenta, 2020; Campello, 2015)</w:t>
      </w:r>
    </w:p>
    <w:p w14:paraId="12D14FA7" w14:textId="77777777" w:rsidR="008F7D31" w:rsidRPr="00891274" w:rsidRDefault="008F7D31" w:rsidP="008F7D31">
      <w:pPr>
        <w:spacing w:after="0" w:line="240" w:lineRule="auto"/>
        <w:jc w:val="both"/>
        <w:rPr>
          <w:rFonts w:ascii="Arial" w:hAnsi="Arial" w:cs="Arial"/>
          <w:b/>
          <w:bCs/>
          <w:sz w:val="24"/>
          <w:szCs w:val="24"/>
        </w:rPr>
      </w:pPr>
    </w:p>
    <w:p w14:paraId="02E98473" w14:textId="68C6BA3A" w:rsidR="008F7D31" w:rsidRPr="00891274" w:rsidRDefault="008F7D31" w:rsidP="008F7D31">
      <w:pPr>
        <w:spacing w:after="0" w:line="240" w:lineRule="auto"/>
        <w:jc w:val="both"/>
        <w:rPr>
          <w:rFonts w:ascii="Arial" w:hAnsi="Arial" w:cs="Arial"/>
          <w:b/>
          <w:bCs/>
          <w:sz w:val="24"/>
          <w:szCs w:val="24"/>
        </w:rPr>
      </w:pPr>
      <w:r w:rsidRPr="00891274">
        <w:rPr>
          <w:rFonts w:ascii="Arial" w:hAnsi="Arial" w:cs="Arial"/>
          <w:b/>
          <w:bCs/>
          <w:sz w:val="24"/>
          <w:szCs w:val="24"/>
        </w:rPr>
        <w:t>Panorama normativo da monitoração eletrônica: do arcabouço federal às especificidades do Amazonas</w:t>
      </w:r>
    </w:p>
    <w:p w14:paraId="538AEDE4" w14:textId="77777777" w:rsidR="008F7D31" w:rsidRPr="00891274" w:rsidRDefault="008F7D31" w:rsidP="008F7D31">
      <w:pPr>
        <w:spacing w:after="0" w:line="240" w:lineRule="auto"/>
        <w:jc w:val="both"/>
        <w:rPr>
          <w:rFonts w:ascii="Arial" w:hAnsi="Arial" w:cs="Arial"/>
          <w:b/>
          <w:bCs/>
          <w:sz w:val="24"/>
          <w:szCs w:val="24"/>
        </w:rPr>
      </w:pPr>
    </w:p>
    <w:p w14:paraId="13D533ED" w14:textId="77777777" w:rsidR="008F7D31" w:rsidRPr="00891274"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 xml:space="preserve">A monitoração eletrônica no Brasil está respaldada por um conjunto normativo sólido, que abrange desde a fase investigativa até a execução penal, com expansão recente para medidas protetivas em casos de violência doméstica e familiar. </w:t>
      </w:r>
      <w:r w:rsidRPr="00891274">
        <w:rPr>
          <w:rFonts w:ascii="Arial" w:hAnsi="Arial" w:cs="Arial"/>
          <w:sz w:val="24"/>
          <w:szCs w:val="24"/>
          <w:lang w:eastAsia="pt-BR"/>
        </w:rPr>
        <w:t>A Lei no 12.258/2010 que representou o início dessa relevante mudança juntamente com a Lei de Execução Penal de 1984, que introduziu a possibilidade do uso da vigilância fora dos muros da prisão como instrumento de fiscalização em situações específicas.</w:t>
      </w:r>
    </w:p>
    <w:p w14:paraId="7535CB62"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Ainda no contexto da evolução normativa, a edição da Lei nº 12.403/2011 — conhecida como Lei das Medidas Cautelares — alterou o Código de Processo Penal, ampliando substancialmente a aplicação da monitoração eletrônica para fases anteriores à execução da pena. Essa legislação teve como propósito central a racionalização das prisões provisórias, conferindo ao juiz a possibilidade de adotar medidas cautelares diversas da prisão, de forma a reservar a segregação cautelar apenas para os casos de extrema necessidade.</w:t>
      </w:r>
    </w:p>
    <w:p w14:paraId="2BC868F6"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 xml:space="preserve">A referida lei introduziu nove medidas alternativas à prisão preventiva, entre as quais figuram: o comparecimento periódico em juízo, a proibição de acesso a determinados locais, a vedação de contato com pessoas específicas, a proibição de se ausentar da comarca, o recolhimento domiciliar noturno e em fins de semana, a suspensão do exercício de função pública ou de atividade econômica, a internação provisória para casos envolvendo inimputabilidade, a aplicação de fiança, e, por fim, a monitoração eletrônica. </w:t>
      </w:r>
    </w:p>
    <w:p w14:paraId="426F70AC"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 xml:space="preserve">De acordo com a norma, esta última só deve ser aplicada quando não houver medida menos invasiva apta a atingir os objetivos cautelares do processo (Brasil, 2011). Outro marco importante foi a promulgação da Lei nº 11.340/2006, conhecida como Lei Maria da Penha, que estabeleceu um conjunto de medidas voltadas à prevenção e repressão da violência doméstica e familiar contra a mulher. Essa legislação prevê a possibilidade de imposição de medidas protetivas de urgência, como a determinação de distanciamento mínimo entre o agressor e a vítima. </w:t>
      </w:r>
    </w:p>
    <w:p w14:paraId="30784FB3" w14:textId="406DA216" w:rsidR="008F7D31" w:rsidRPr="008F7D31"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Ademais, no campo da proteção às mulheres em situação de violência doméstica, o legislador federal também avançou. A Lei nº 15.125/2025, ao alterar o artigo 22, § 5º, da Lei Maria da Penha (Lei nº 11.340/2006), passou a permitir expressamente o uso de tornozeleiras eletrônicas para o controle de agressores, de modo a garantir o cumprimento das medidas protetivas de urgência, emitindo alertas preventivos tanto à vítima quanto às autoridades competentes em caso de aproximação indevida. (Lei nº 15.125/2025: altera o artigo 22, § 5º, da Lei Maria da Penha (Lei nº 11.340/2006), permitindo o uso de tornozeleiras eletrônicas para controle de agressores em medidas protetivas de urgência.</w:t>
      </w:r>
    </w:p>
    <w:p w14:paraId="1296584D"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Todavia, como destacam estudos recentes, a eficácia dessas determinações depende, em grande parte, da existência de mecanismos de fiscalização adequados. (Pimenta, 2020). É nesse contexto que a monitoração eletrônica se revela uma ferramenta crucial para garantir o cumprimento das medidas protetivas, oferecendo uma camada adicional de segurança às mulheres em situação de vulnerabilidade.</w:t>
      </w:r>
    </w:p>
    <w:p w14:paraId="2CC64662" w14:textId="77777777" w:rsidR="008F7D31" w:rsidRPr="00891274" w:rsidRDefault="008F7D31" w:rsidP="008F7D31">
      <w:pPr>
        <w:spacing w:after="0" w:line="240" w:lineRule="auto"/>
        <w:ind w:firstLine="851"/>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Adicionalmente, é possível a utilização da Unidade Portátil de Rastreamento (UPR) pela vítima, a qual permite o monitoramento simultâneo da localização do agressor (por meio da tornozeleira), possibilitando a emissão de alertas imediatos caso ocorra aproximação indevida entre as partes contrariando a decisão judicial.</w:t>
      </w:r>
    </w:p>
    <w:p w14:paraId="4D86F139" w14:textId="77777777" w:rsidR="008F7D31" w:rsidRPr="00891274"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Já a Lei de Execução Penal (LEP), em seu artigo 146-B, prevê expressamente o uso de dispositivos de monitoramento como instrumento de fiscalização do cumprimento de medidas cautelares ou de sanções penais. Complementarmente, o Código de Processo Penal (CPP), no artigo 319, inciso IX, inclui a monitoração eletrônica entre as medidas cautelares diversas da prisão, aplicáveis durante o curso da persecução penal. (</w:t>
      </w:r>
      <w:bookmarkStart w:id="4" w:name="_Hlk200813865"/>
      <w:r w:rsidRPr="00891274">
        <w:rPr>
          <w:rFonts w:ascii="Arial" w:hAnsi="Arial" w:cs="Arial"/>
          <w:sz w:val="24"/>
          <w:szCs w:val="24"/>
        </w:rPr>
        <w:t>Brasil, 1984)</w:t>
      </w:r>
    </w:p>
    <w:bookmarkEnd w:id="4"/>
    <w:p w14:paraId="4CE0E675" w14:textId="77777777" w:rsidR="008F7D31" w:rsidRPr="00891274"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A regulamentação nacional sobre o tema foi consolidada pela Resolução nº 412/2021 do Conselho Nacional de Justiça (CNJ), que estabelece diretrizes para a aplicação, fiscalização e acompanhamento da monitoração eletrônica em todas as etapas do processo penal e da execução penal. Essa normativa enfatiza a necessidade de respeito aos direitos fundamentais dos monitorados, bem como a transparência e o controle social das instituições envolvidas</w:t>
      </w:r>
      <w:bookmarkStart w:id="5" w:name="_Hlk200813899"/>
      <w:r w:rsidRPr="00891274">
        <w:rPr>
          <w:rFonts w:ascii="Arial" w:hAnsi="Arial" w:cs="Arial"/>
          <w:sz w:val="24"/>
          <w:szCs w:val="24"/>
        </w:rPr>
        <w:t xml:space="preserve"> (Resolução nº 412/2021 do Conselho Nacional de Justiça (CNJ).</w:t>
      </w:r>
    </w:p>
    <w:bookmarkEnd w:id="5"/>
    <w:p w14:paraId="6AF5ECAB" w14:textId="77777777" w:rsidR="008F7D31" w:rsidRPr="00891274"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No contexto do Estado do Amazonas, o marco normativo federal é complementado por normas locais que buscam adaptar a tecnologia às particularidades regionais. Destaca-se, nesse sentido, a Portaria Conjunta nº 37/2022, expedida pelo Tribunal de Justiça do Amazonas (TJAM) em conjunto com a Corregedoria-Geral de Justiça, o Grupo de Monitoramento e Fiscalização do Sistema Carcerário e Socioeducativo (GMF) e a Secretaria de Estado de Administração Penitenciária (SEAP). Essa portaria regulamenta a aplicação da monitoração eletrônica no estado, considerando fatores como a superlotação carcerária, as limitações de infraestrutura, os custos operacionais e a instalação do Centro de Operações e Controle (COC/SEAP), responsável pelo acompanhamento em tempo real dos apenados e monitorados</w:t>
      </w:r>
      <w:bookmarkStart w:id="6" w:name="_Hlk200813918"/>
      <w:r w:rsidRPr="00891274">
        <w:rPr>
          <w:rFonts w:ascii="Arial" w:hAnsi="Arial" w:cs="Arial"/>
          <w:sz w:val="24"/>
          <w:szCs w:val="24"/>
        </w:rPr>
        <w:t xml:space="preserve"> (Portaria Conjunta nº 37/2022 do Tribunal de Justiça do Amazonas - TJAM)</w:t>
      </w:r>
      <w:bookmarkEnd w:id="6"/>
      <w:r w:rsidRPr="00891274">
        <w:rPr>
          <w:rFonts w:ascii="Arial" w:hAnsi="Arial" w:cs="Arial"/>
          <w:sz w:val="24"/>
          <w:szCs w:val="24"/>
        </w:rPr>
        <w:t>.</w:t>
      </w:r>
    </w:p>
    <w:p w14:paraId="778557F9" w14:textId="77777777" w:rsidR="008F7D31" w:rsidRPr="00891274"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Conforme essa normativa, o uso da tornozeleira eletrônica deve observar os princípios do Estatuto Penitenciário Estadual, do CPP e da Lei de Execução Penal, sendo fiscalizado periodicamente por meio de inspeções do GMF. O sistema utilizado permite o registro preciso de eventuais violações, como o rompimento do dispositivo, tentativas de evasão ou o ingresso em zonas de exclusão, com georreferenciamento de data, hora e localização. No estado, a monitoração eletrônica é aplicada em diferentes situações jurídicas, incluindo: medidas cautelares diversas da prisão, saídas temporárias, progressões antecipadas de regime, prisões domiciliares e medidas protetivas em razão de violência doméstica.</w:t>
      </w:r>
    </w:p>
    <w:p w14:paraId="518CF566" w14:textId="77777777" w:rsidR="008F7D31" w:rsidRPr="00891274"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Além disso, o Amazonas aprovou a Lei Estadual nº 7.260/2024, que formaliza a possibilidade de uso de monitoração eletrônica como medida protetiva, conferindo maior efetividade à salvaguarda da integridade física e psicológica das vítimas. Em paralelo, tramita na Assembleia Legislativa o Projeto de Lei Ordinária nº 294/2019, que propõe que os custos dos dispositivos de rastreamento sejam arcados pelos próprios monitorados, visando à sustentabilidade financeira do programa.</w:t>
      </w:r>
    </w:p>
    <w:p w14:paraId="27AF3355" w14:textId="77777777" w:rsidR="008F7D31" w:rsidRPr="00891274" w:rsidRDefault="008F7D31" w:rsidP="008F7D31">
      <w:pPr>
        <w:spacing w:after="0" w:line="240" w:lineRule="auto"/>
        <w:ind w:firstLine="851"/>
        <w:jc w:val="both"/>
        <w:rPr>
          <w:rFonts w:ascii="Arial" w:hAnsi="Arial" w:cs="Arial"/>
          <w:sz w:val="24"/>
          <w:szCs w:val="24"/>
        </w:rPr>
      </w:pPr>
      <w:r w:rsidRPr="00891274">
        <w:rPr>
          <w:rFonts w:ascii="Arial" w:hAnsi="Arial" w:cs="Arial"/>
          <w:sz w:val="24"/>
          <w:szCs w:val="24"/>
        </w:rPr>
        <w:t>Esse conjunto de normas evidencia o esforço de harmonizar os marcos nacionais com a realidade local, apontando para um modelo de justiça penal mais eficiente, seletivo e sensível aos contextos de vulnerabilidade social e estrutural que caracterizam o sistema prisional amazonense.</w:t>
      </w:r>
    </w:p>
    <w:p w14:paraId="0750FF3A" w14:textId="77777777" w:rsidR="008F7D31" w:rsidRPr="00891274" w:rsidRDefault="008F7D31" w:rsidP="008F7D31">
      <w:pPr>
        <w:pStyle w:val="Corpodetexto"/>
        <w:tabs>
          <w:tab w:val="left" w:pos="2805"/>
        </w:tabs>
        <w:ind w:right="136"/>
        <w:jc w:val="both"/>
        <w:rPr>
          <w:rFonts w:ascii="Arial" w:hAnsi="Arial" w:cs="Arial"/>
          <w:lang w:val="pt-BR"/>
        </w:rPr>
      </w:pPr>
    </w:p>
    <w:p w14:paraId="495C0227" w14:textId="3C719DB7" w:rsidR="008F7D31" w:rsidRDefault="008F7D31" w:rsidP="008F7D31">
      <w:pPr>
        <w:spacing w:after="0" w:line="240" w:lineRule="auto"/>
        <w:jc w:val="both"/>
        <w:rPr>
          <w:rStyle w:val="Forte"/>
          <w:rFonts w:ascii="Arial" w:hAnsi="Arial" w:cs="Arial"/>
          <w:sz w:val="24"/>
          <w:szCs w:val="24"/>
        </w:rPr>
      </w:pPr>
      <w:r w:rsidRPr="00891274">
        <w:rPr>
          <w:rStyle w:val="Forte"/>
          <w:rFonts w:ascii="Arial" w:hAnsi="Arial" w:cs="Arial"/>
          <w:sz w:val="24"/>
          <w:szCs w:val="24"/>
        </w:rPr>
        <w:t xml:space="preserve">O </w:t>
      </w:r>
      <w:r w:rsidR="00E316AC" w:rsidRPr="00891274">
        <w:rPr>
          <w:rStyle w:val="Forte"/>
          <w:rFonts w:ascii="Arial" w:hAnsi="Arial" w:cs="Arial"/>
          <w:sz w:val="24"/>
          <w:szCs w:val="24"/>
        </w:rPr>
        <w:t xml:space="preserve">início da implementação da monitoração eletrônica no </w:t>
      </w:r>
      <w:r w:rsidRPr="00891274">
        <w:rPr>
          <w:rStyle w:val="Forte"/>
          <w:rFonts w:ascii="Arial" w:hAnsi="Arial" w:cs="Arial"/>
          <w:sz w:val="24"/>
          <w:szCs w:val="24"/>
        </w:rPr>
        <w:t>A</w:t>
      </w:r>
      <w:r w:rsidR="00E316AC" w:rsidRPr="00891274">
        <w:rPr>
          <w:rStyle w:val="Forte"/>
          <w:rFonts w:ascii="Arial" w:hAnsi="Arial" w:cs="Arial"/>
          <w:sz w:val="24"/>
          <w:szCs w:val="24"/>
        </w:rPr>
        <w:t>mazonas</w:t>
      </w:r>
    </w:p>
    <w:p w14:paraId="3208967E" w14:textId="77777777" w:rsidR="008F7D31" w:rsidRPr="00891274" w:rsidRDefault="008F7D31" w:rsidP="008F7D31">
      <w:pPr>
        <w:spacing w:after="0" w:line="240" w:lineRule="auto"/>
        <w:jc w:val="both"/>
        <w:rPr>
          <w:rFonts w:ascii="Arial" w:hAnsi="Arial" w:cs="Arial"/>
          <w:b/>
          <w:bCs/>
          <w:sz w:val="24"/>
          <w:szCs w:val="24"/>
        </w:rPr>
      </w:pPr>
    </w:p>
    <w:p w14:paraId="69CB60D7"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A implementação do sistema de monitoração eletrônica no Amazonas teve início em 2014, representando uma alternativa às penas privativas de liberdade e um avanço nas políticas penais do estado. No entanto, desde os primeiros passos, o processo enfrentou diversos desafios estruturais e operacionais. A infraestrutura tecnológica disponível revelou-se limitada, com dificuldades na aquisição, manutenção e substituição dos equipamentos, comprometendo a efetividade da fiscalização dos apenados.</w:t>
      </w:r>
    </w:p>
    <w:p w14:paraId="3A4F0DAB"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De acordo com Orsini, Monteiro e Silva (2022), logo nos primeiros anos, a escassez de tornozeleiras eletrônicas e falhas técnicas recorrentes — como perda de sinal e baixa autonomia das baterias — prejudicaram o monitoramento contínuo, dificultando o cumprimento das medidas impostas pelo Judiciário. Além das questões técnicas, a fase inicial também foi marcada por entraves administrativos, como a falta de servidores capacitados e a sobrecarga das equipes da Secretaria de Administração Penitenciária do Amazonas (SEAP).</w:t>
      </w:r>
    </w:p>
    <w:p w14:paraId="05CC32BD" w14:textId="77777777" w:rsidR="008F7D31" w:rsidRPr="00891274" w:rsidRDefault="008F7D31" w:rsidP="008F7D31">
      <w:pPr>
        <w:spacing w:after="0" w:line="240" w:lineRule="auto"/>
        <w:ind w:firstLine="708"/>
        <w:jc w:val="both"/>
        <w:rPr>
          <w:rFonts w:ascii="Times New Roman" w:eastAsia="Times New Roman" w:hAnsi="Times New Roman" w:cs="Times New Roman"/>
          <w:sz w:val="24"/>
          <w:szCs w:val="24"/>
          <w:lang w:eastAsia="pt-BR"/>
        </w:rPr>
      </w:pPr>
      <w:r w:rsidRPr="00891274">
        <w:rPr>
          <w:rFonts w:ascii="Arial" w:eastAsia="Times New Roman" w:hAnsi="Arial" w:cs="Arial"/>
          <w:sz w:val="24"/>
          <w:szCs w:val="24"/>
          <w:lang w:eastAsia="pt-BR"/>
        </w:rPr>
        <w:t>A ausência de equipes multidisciplinares, com profissionais das áreas de psicologia, serviço social e direito, limitou o suporte necessário à reintegração social dos monitorados, contrariando as diretrizes do Conselho Nacional de Justiça (CNJ, 2022). Esses obstáculos iniciais evidenciam que a implementação da monitoração eletrônica no estado exigia não apenas equipamentos, mas também estrutura organizacional e recursos humanos adequados para garantir sua efetividade</w:t>
      </w:r>
      <w:r w:rsidRPr="00891274">
        <w:rPr>
          <w:rFonts w:ascii="Times New Roman" w:eastAsia="Times New Roman" w:hAnsi="Times New Roman" w:cs="Times New Roman"/>
          <w:sz w:val="24"/>
          <w:szCs w:val="24"/>
          <w:lang w:eastAsia="pt-BR"/>
        </w:rPr>
        <w:t>.</w:t>
      </w:r>
    </w:p>
    <w:p w14:paraId="05C3396E" w14:textId="77777777" w:rsidR="008F7D31" w:rsidRPr="00891274" w:rsidRDefault="008F7D31" w:rsidP="008F7D31">
      <w:pPr>
        <w:spacing w:after="0" w:line="240" w:lineRule="auto"/>
        <w:ind w:firstLine="708"/>
        <w:jc w:val="both"/>
        <w:rPr>
          <w:rFonts w:ascii="Arial" w:hAnsi="Arial" w:cs="Arial"/>
          <w:sz w:val="24"/>
          <w:szCs w:val="24"/>
        </w:rPr>
      </w:pPr>
    </w:p>
    <w:p w14:paraId="2D7EF05A" w14:textId="3877BEE0" w:rsidR="008F7D31" w:rsidRDefault="008F7D31" w:rsidP="008F7D31">
      <w:pPr>
        <w:spacing w:after="0" w:line="240" w:lineRule="auto"/>
        <w:jc w:val="both"/>
        <w:rPr>
          <w:rStyle w:val="Forte"/>
          <w:rFonts w:ascii="Arial" w:hAnsi="Arial" w:cs="Arial"/>
          <w:sz w:val="24"/>
          <w:szCs w:val="24"/>
        </w:rPr>
      </w:pPr>
      <w:r w:rsidRPr="00891274">
        <w:rPr>
          <w:rFonts w:ascii="Arial" w:hAnsi="Arial" w:cs="Arial"/>
          <w:b/>
          <w:bCs/>
          <w:sz w:val="24"/>
          <w:szCs w:val="24"/>
        </w:rPr>
        <w:t xml:space="preserve">Dados da </w:t>
      </w:r>
      <w:r w:rsidRPr="00891274">
        <w:rPr>
          <w:rStyle w:val="Forte"/>
          <w:rFonts w:ascii="Arial" w:hAnsi="Arial" w:cs="Arial"/>
          <w:sz w:val="24"/>
          <w:szCs w:val="24"/>
        </w:rPr>
        <w:t>monitoração eletrônica e o regime semiaberto no Amazonas</w:t>
      </w:r>
    </w:p>
    <w:p w14:paraId="32EF2478" w14:textId="77777777" w:rsidR="008F7D31" w:rsidRPr="00891274" w:rsidRDefault="008F7D31" w:rsidP="008F7D31">
      <w:pPr>
        <w:spacing w:after="0" w:line="240" w:lineRule="auto"/>
        <w:jc w:val="both"/>
        <w:rPr>
          <w:rStyle w:val="Forte"/>
          <w:rFonts w:ascii="Arial" w:hAnsi="Arial" w:cs="Arial"/>
          <w:sz w:val="24"/>
          <w:szCs w:val="24"/>
        </w:rPr>
      </w:pPr>
    </w:p>
    <w:p w14:paraId="79D779CB" w14:textId="77777777" w:rsidR="008F7D31" w:rsidRPr="00891274" w:rsidRDefault="008F7D31" w:rsidP="008F7D31">
      <w:pPr>
        <w:spacing w:after="0" w:line="240" w:lineRule="auto"/>
        <w:ind w:firstLine="709"/>
        <w:jc w:val="both"/>
        <w:rPr>
          <w:rFonts w:ascii="Arial" w:hAnsi="Arial" w:cs="Arial"/>
          <w:sz w:val="24"/>
          <w:szCs w:val="24"/>
        </w:rPr>
      </w:pPr>
      <w:r w:rsidRPr="00891274">
        <w:rPr>
          <w:rFonts w:ascii="Arial" w:hAnsi="Arial" w:cs="Arial"/>
          <w:sz w:val="24"/>
          <w:szCs w:val="24"/>
        </w:rPr>
        <w:t>A Lei de Execução Penal, em seu artigo 91, estabelece o modelo tradicional para o cumprimento da pena no regime semiaberto, indicando que as colônias agrícolas, industriais ou unidades similares são os locais destinados a essa modalidade de pena (BRASIL, 1984). O principal propósito desse regime, conforme previsto no sistema tradicional, é promover a ressocialização dos condenados por meio do trabalho. O trabalho interno ocorre dentro dessas colônias, oferecido pelo Estado, enquanto o trabalho externo é permitido mediante autorização judicial, possibilitando que o preso exerça atividades fora da unidade durante o dia.</w:t>
      </w:r>
    </w:p>
    <w:p w14:paraId="70D50206" w14:textId="32CE74BB" w:rsidR="008F7D31" w:rsidRPr="00891274" w:rsidRDefault="008F7D31" w:rsidP="008F7D31">
      <w:pPr>
        <w:spacing w:after="0" w:line="240" w:lineRule="auto"/>
        <w:ind w:firstLine="709"/>
        <w:jc w:val="both"/>
        <w:rPr>
          <w:rFonts w:ascii="Arial" w:hAnsi="Arial" w:cs="Arial"/>
          <w:sz w:val="24"/>
          <w:szCs w:val="24"/>
        </w:rPr>
      </w:pPr>
      <w:r w:rsidRPr="00891274">
        <w:rPr>
          <w:rFonts w:ascii="Arial" w:hAnsi="Arial" w:cs="Arial"/>
          <w:sz w:val="24"/>
          <w:szCs w:val="24"/>
        </w:rPr>
        <w:t xml:space="preserve">No entanto, de acordo com </w:t>
      </w:r>
      <w:proofErr w:type="spellStart"/>
      <w:r w:rsidRPr="00891274">
        <w:rPr>
          <w:rFonts w:ascii="Arial" w:hAnsi="Arial" w:cs="Arial"/>
          <w:sz w:val="24"/>
          <w:szCs w:val="24"/>
        </w:rPr>
        <w:t>Pozzeti</w:t>
      </w:r>
      <w:proofErr w:type="spellEnd"/>
      <w:r w:rsidRPr="00891274">
        <w:rPr>
          <w:rFonts w:ascii="Arial" w:hAnsi="Arial" w:cs="Arial"/>
          <w:sz w:val="24"/>
          <w:szCs w:val="24"/>
        </w:rPr>
        <w:t>; Cavalcante; Campos (2022), no Estado do Amazonas, o modelo tradicional do regime semiaberto enfrenta diversos problemas, como a saída diária dos presos, que apesar da exigência de comprovação de vínculo empregatício, gerava casos de não retorno. Além disso, a superlotação, a falta de infraestrutura adequada e a escassez de investimentos dificultam a efetiva aplicação desse regime. Para enfrentar esses desafios e reduzir a população carcerária, em 2018, uma decisão judicial determinou a desativação do regime semiaberto no COMPAJ, transferindo os detentos para o monitoramento eletrônico.</w:t>
      </w:r>
    </w:p>
    <w:p w14:paraId="573B3EF7" w14:textId="3560F3F7" w:rsidR="008F7D31" w:rsidRPr="00891274" w:rsidRDefault="008F7D31" w:rsidP="008F7D31">
      <w:pPr>
        <w:spacing w:after="0" w:line="240" w:lineRule="auto"/>
        <w:ind w:firstLine="709"/>
        <w:jc w:val="both"/>
        <w:rPr>
          <w:rFonts w:ascii="Arial" w:hAnsi="Arial" w:cs="Arial"/>
          <w:sz w:val="24"/>
          <w:szCs w:val="24"/>
        </w:rPr>
      </w:pPr>
      <w:r w:rsidRPr="00891274">
        <w:rPr>
          <w:rFonts w:ascii="Arial" w:hAnsi="Arial" w:cs="Arial"/>
          <w:sz w:val="24"/>
          <w:szCs w:val="24"/>
        </w:rPr>
        <w:t xml:space="preserve">O COC/SEAP é responsável por acompanhar e fiscalizar o cumprimento de decisões judiciais que determinam o uso de monitoramento eletrônico, isto é, a vigilância telemática posicional à distância de pessoas que respondem criminalmente nos âmbitos </w:t>
      </w:r>
      <w:proofErr w:type="spellStart"/>
      <w:r w:rsidRPr="00891274">
        <w:rPr>
          <w:rFonts w:ascii="Arial" w:hAnsi="Arial" w:cs="Arial"/>
          <w:sz w:val="24"/>
          <w:szCs w:val="24"/>
        </w:rPr>
        <w:t>pré</w:t>
      </w:r>
      <w:proofErr w:type="spellEnd"/>
      <w:r w:rsidRPr="00891274">
        <w:rPr>
          <w:rFonts w:ascii="Arial" w:hAnsi="Arial" w:cs="Arial"/>
          <w:sz w:val="24"/>
          <w:szCs w:val="24"/>
        </w:rPr>
        <w:t>-processual, processual penal e da execução penal dentro da justiça criminal estadual.</w:t>
      </w:r>
    </w:p>
    <w:p w14:paraId="16EB6F7C" w14:textId="77777777" w:rsidR="008F7D31" w:rsidRPr="00891274" w:rsidRDefault="008F7D31" w:rsidP="008F7D31">
      <w:pPr>
        <w:spacing w:after="0" w:line="240" w:lineRule="auto"/>
        <w:ind w:firstLine="709"/>
        <w:jc w:val="both"/>
        <w:rPr>
          <w:rFonts w:ascii="Arial" w:hAnsi="Arial" w:cs="Arial"/>
          <w:sz w:val="24"/>
          <w:szCs w:val="24"/>
        </w:rPr>
      </w:pPr>
      <w:r w:rsidRPr="00891274">
        <w:rPr>
          <w:rFonts w:ascii="Arial" w:hAnsi="Arial" w:cs="Arial"/>
          <w:sz w:val="24"/>
          <w:szCs w:val="24"/>
        </w:rPr>
        <w:t xml:space="preserve">Segundo dados COC/SEAP (2024), a população monitorada era de 5.040 indivíduos, sendo a seguinte distribuição: 88% homens, 11% mulheres e 1% LGBTQIAPN+. Deste quantitativo, 46% estavam em regime provisório, 48% semiaberto, 5% prisão domiciliar e 1% vítimas.  </w:t>
      </w:r>
    </w:p>
    <w:p w14:paraId="6120B525" w14:textId="77777777" w:rsidR="008F7D31" w:rsidRPr="00891274" w:rsidRDefault="008F7D31" w:rsidP="008F7D31">
      <w:pPr>
        <w:spacing w:after="0" w:line="240" w:lineRule="auto"/>
        <w:ind w:firstLine="709"/>
        <w:jc w:val="both"/>
        <w:rPr>
          <w:rFonts w:ascii="Arial" w:hAnsi="Arial" w:cs="Arial"/>
          <w:sz w:val="24"/>
          <w:szCs w:val="24"/>
        </w:rPr>
      </w:pPr>
      <w:r w:rsidRPr="00891274">
        <w:rPr>
          <w:rFonts w:ascii="Arial" w:hAnsi="Arial" w:cs="Arial"/>
          <w:sz w:val="24"/>
          <w:szCs w:val="24"/>
        </w:rPr>
        <w:t xml:space="preserve">Sobre a nacionalidade dos monitorados a prevalência é de brasileiros, mas constam registros de venezuelanos, colombianos e peruanos, bem como 15 indivíduos que se autodeclararam indígenas (COC/SEAP, 2024). </w:t>
      </w:r>
    </w:p>
    <w:p w14:paraId="6F39F48E" w14:textId="77777777" w:rsidR="00E316AC" w:rsidRDefault="00E316AC" w:rsidP="008F7D31">
      <w:pPr>
        <w:pStyle w:val="NormalWeb"/>
        <w:spacing w:before="0" w:beforeAutospacing="0" w:after="0" w:afterAutospacing="0"/>
        <w:jc w:val="both"/>
        <w:rPr>
          <w:rStyle w:val="Forte"/>
          <w:rFonts w:ascii="Arial" w:eastAsiaTheme="majorEastAsia" w:hAnsi="Arial" w:cs="Arial"/>
        </w:rPr>
      </w:pPr>
    </w:p>
    <w:p w14:paraId="14B61A91" w14:textId="109996C6" w:rsidR="008F7D31" w:rsidRDefault="008F7D31" w:rsidP="008F7D31">
      <w:pPr>
        <w:pStyle w:val="NormalWeb"/>
        <w:spacing w:before="0" w:beforeAutospacing="0" w:after="0" w:afterAutospacing="0"/>
        <w:jc w:val="both"/>
        <w:rPr>
          <w:rFonts w:ascii="Arial" w:hAnsi="Arial" w:cs="Arial"/>
          <w:b/>
          <w:bCs/>
        </w:rPr>
      </w:pPr>
      <w:r w:rsidRPr="00891274">
        <w:rPr>
          <w:rStyle w:val="Forte"/>
          <w:rFonts w:ascii="Arial" w:eastAsiaTheme="majorEastAsia" w:hAnsi="Arial" w:cs="Arial"/>
        </w:rPr>
        <w:t xml:space="preserve">A </w:t>
      </w:r>
      <w:r w:rsidR="00E316AC" w:rsidRPr="00891274">
        <w:rPr>
          <w:rStyle w:val="Forte"/>
          <w:rFonts w:ascii="Arial" w:eastAsiaTheme="majorEastAsia" w:hAnsi="Arial" w:cs="Arial"/>
        </w:rPr>
        <w:t>infraestrutura tecnológica disponível</w:t>
      </w:r>
      <w:r w:rsidR="00E316AC" w:rsidRPr="00891274">
        <w:rPr>
          <w:rFonts w:ascii="Arial" w:hAnsi="Arial" w:cs="Arial"/>
          <w:b/>
          <w:bCs/>
        </w:rPr>
        <w:t xml:space="preserve"> para a implementação e operação do sistema de monitoração no </w:t>
      </w:r>
      <w:r w:rsidRPr="00891274">
        <w:rPr>
          <w:rFonts w:ascii="Arial" w:hAnsi="Arial" w:cs="Arial"/>
          <w:b/>
          <w:bCs/>
        </w:rPr>
        <w:t>A</w:t>
      </w:r>
      <w:r w:rsidR="00E316AC" w:rsidRPr="00891274">
        <w:rPr>
          <w:rFonts w:ascii="Arial" w:hAnsi="Arial" w:cs="Arial"/>
          <w:b/>
          <w:bCs/>
        </w:rPr>
        <w:t>mazonas</w:t>
      </w:r>
    </w:p>
    <w:p w14:paraId="100CA49A" w14:textId="77777777" w:rsidR="008F7D31" w:rsidRPr="00891274" w:rsidRDefault="008F7D31" w:rsidP="008F7D31">
      <w:pPr>
        <w:pStyle w:val="NormalWeb"/>
        <w:spacing w:before="0" w:beforeAutospacing="0" w:after="0" w:afterAutospacing="0"/>
        <w:jc w:val="both"/>
        <w:rPr>
          <w:rFonts w:ascii="Arial" w:hAnsi="Arial" w:cs="Arial"/>
          <w:b/>
          <w:bCs/>
        </w:rPr>
      </w:pPr>
    </w:p>
    <w:p w14:paraId="2925E94B"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 xml:space="preserve">Segundo Relatório de 2024 da SEAP, esta possui contrato com a empresa SYNERGYE para o monitoramento em tempo real de 8000 pessoas ativas simultaneamente.  O dispositivo utilizado pelo COC/SEAP cumpre com os mais rigorosos padrões de segurança internacionais. Equipado com tecnologia de comunicação 4G, 3G e 2G, é totalmente operado em uma plataforma web desenvolvida com tecnologia de ponta brasileira. </w:t>
      </w:r>
    </w:p>
    <w:p w14:paraId="0230023A" w14:textId="7B5461B5" w:rsidR="008F7D31" w:rsidRPr="00891274" w:rsidRDefault="008F7D31" w:rsidP="008F7D31">
      <w:pPr>
        <w:pStyle w:val="NormalWeb"/>
        <w:spacing w:before="0" w:beforeAutospacing="0" w:after="0" w:afterAutospacing="0"/>
        <w:ind w:firstLine="709"/>
        <w:jc w:val="both"/>
        <w:rPr>
          <w:rFonts w:ascii="Arial" w:hAnsi="Arial" w:cs="Arial"/>
          <w:b/>
          <w:bCs/>
          <w:sz w:val="20"/>
          <w:szCs w:val="20"/>
        </w:rPr>
      </w:pPr>
      <w:r w:rsidRPr="00891274">
        <w:rPr>
          <w:rFonts w:ascii="Arial" w:hAnsi="Arial" w:cs="Arial"/>
        </w:rPr>
        <w:t>Ele oferece monitoramento em tempo real e fornece informações 24 horas por dia.  É uma das tornozeleira eletrônicas mais leves disponíveis no mercado, pesando apenas 100 gramas. Com um design anatômico que se adapta perfeitamente ao tornozelo da pessoa monitorada, oferece o conforto e a discrição necessários para que o monitorado possa levar uma vida cotidiana sem restrições.</w:t>
      </w:r>
    </w:p>
    <w:p w14:paraId="06D2284A"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b/>
          <w:bCs/>
          <w:sz w:val="20"/>
          <w:szCs w:val="20"/>
        </w:rPr>
      </w:pPr>
    </w:p>
    <w:p w14:paraId="476061B9" w14:textId="77777777"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E316AC">
        <w:rPr>
          <w:rFonts w:ascii="Arial" w:hAnsi="Arial" w:cs="Arial"/>
          <w:sz w:val="20"/>
          <w:szCs w:val="20"/>
        </w:rPr>
        <w:t>Figura 1:</w:t>
      </w:r>
      <w:r w:rsidRPr="00891274">
        <w:rPr>
          <w:rFonts w:ascii="Arial" w:hAnsi="Arial" w:cs="Arial"/>
          <w:sz w:val="20"/>
          <w:szCs w:val="20"/>
        </w:rPr>
        <w:t xml:space="preserve"> Tornozeleira eletrônica utilizada no Amazonas</w:t>
      </w:r>
    </w:p>
    <w:p w14:paraId="5791C193" w14:textId="77777777" w:rsidR="008F7D31" w:rsidRPr="00891274" w:rsidRDefault="008F7D31" w:rsidP="00E316AC">
      <w:pPr>
        <w:pStyle w:val="NormalWeb"/>
        <w:spacing w:before="0" w:beforeAutospacing="0" w:after="0" w:afterAutospacing="0" w:line="360" w:lineRule="auto"/>
        <w:jc w:val="center"/>
        <w:rPr>
          <w:rFonts w:ascii="Arial" w:hAnsi="Arial" w:cs="Arial"/>
        </w:rPr>
      </w:pPr>
      <w:r w:rsidRPr="00891274">
        <w:rPr>
          <w:noProof/>
        </w:rPr>
        <w:drawing>
          <wp:inline distT="0" distB="0" distL="0" distR="0" wp14:anchorId="65A31195" wp14:editId="40E790D5">
            <wp:extent cx="3621222" cy="2419350"/>
            <wp:effectExtent l="0" t="0" r="0" b="0"/>
            <wp:docPr id="2144681498"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81498" name="Imagem 1" descr="Diagrama&#10;&#10;O conteúdo gerado por IA pode estar incorreto."/>
                    <pic:cNvPicPr/>
                  </pic:nvPicPr>
                  <pic:blipFill rotWithShape="1">
                    <a:blip r:embed="rId15"/>
                    <a:srcRect l="25929" t="33572" r="33149" b="17799"/>
                    <a:stretch>
                      <a:fillRect/>
                    </a:stretch>
                  </pic:blipFill>
                  <pic:spPr bwMode="auto">
                    <a:xfrm>
                      <a:off x="0" y="0"/>
                      <a:ext cx="3645887" cy="2435829"/>
                    </a:xfrm>
                    <a:prstGeom prst="rect">
                      <a:avLst/>
                    </a:prstGeom>
                    <a:ln>
                      <a:noFill/>
                    </a:ln>
                    <a:extLst>
                      <a:ext uri="{53640926-AAD7-44D8-BBD7-CCE9431645EC}">
                        <a14:shadowObscured xmlns:a14="http://schemas.microsoft.com/office/drawing/2010/main"/>
                      </a:ext>
                    </a:extLst>
                  </pic:spPr>
                </pic:pic>
              </a:graphicData>
            </a:graphic>
          </wp:inline>
        </w:drawing>
      </w:r>
    </w:p>
    <w:p w14:paraId="0DBC0AFC" w14:textId="77777777" w:rsidR="008F7D31" w:rsidRPr="00891274" w:rsidRDefault="008F7D31" w:rsidP="00E316AC">
      <w:pPr>
        <w:pStyle w:val="NormalWeb"/>
        <w:spacing w:before="0" w:beforeAutospacing="0" w:after="0" w:afterAutospacing="0"/>
        <w:jc w:val="center"/>
        <w:rPr>
          <w:rFonts w:ascii="Arial" w:hAnsi="Arial" w:cs="Arial"/>
          <w:sz w:val="20"/>
          <w:szCs w:val="20"/>
        </w:rPr>
      </w:pPr>
      <w:r w:rsidRPr="00891274">
        <w:rPr>
          <w:rFonts w:ascii="Arial" w:hAnsi="Arial" w:cs="Arial"/>
          <w:sz w:val="20"/>
          <w:szCs w:val="20"/>
        </w:rPr>
        <w:t>Fonte: Banco de dados do Centro de Operações e Controle (COC) da Secretaria de Administração Penitenciária (SEAP) (2024).</w:t>
      </w:r>
    </w:p>
    <w:p w14:paraId="01FE0C37" w14:textId="77777777" w:rsidR="008F7D31" w:rsidRPr="00891274" w:rsidRDefault="008F7D31" w:rsidP="008F7D31">
      <w:pPr>
        <w:pStyle w:val="NormalWeb"/>
        <w:spacing w:before="0" w:beforeAutospacing="0" w:after="0" w:afterAutospacing="0"/>
        <w:ind w:firstLine="709"/>
        <w:jc w:val="both"/>
        <w:rPr>
          <w:rFonts w:ascii="Arial" w:hAnsi="Arial" w:cs="Arial"/>
        </w:rPr>
      </w:pPr>
    </w:p>
    <w:p w14:paraId="53578536" w14:textId="2990CFF1" w:rsidR="008F7D31" w:rsidRDefault="008F7D31" w:rsidP="008F7D31">
      <w:pPr>
        <w:pStyle w:val="NormalWeb"/>
        <w:spacing w:before="0" w:beforeAutospacing="0" w:after="0" w:afterAutospacing="0"/>
        <w:ind w:firstLine="709"/>
        <w:jc w:val="both"/>
        <w:rPr>
          <w:rFonts w:ascii="Arial" w:hAnsi="Arial" w:cs="Arial"/>
          <w:b/>
          <w:bCs/>
          <w:sz w:val="20"/>
          <w:szCs w:val="20"/>
        </w:rPr>
      </w:pPr>
      <w:r w:rsidRPr="00891274">
        <w:rPr>
          <w:rFonts w:ascii="Arial" w:hAnsi="Arial" w:cs="Arial"/>
        </w:rPr>
        <w:t>A imagem mostra a tornozeleira eletrônica usada pela SEAP, leve e discreta, anatomicamente moldada ao indivíduo monitorado, com conexão até 4G e sensores de segurança. O equipamento permite o rastreamento em tempo real e é parte essencial no monitoramento dos apenados no estado.</w:t>
      </w:r>
    </w:p>
    <w:p w14:paraId="4672A3F6" w14:textId="77777777" w:rsidR="00E316AC" w:rsidRDefault="00E316AC" w:rsidP="008F7D31">
      <w:pPr>
        <w:pStyle w:val="NormalWeb"/>
        <w:spacing w:before="0" w:beforeAutospacing="0" w:after="0" w:afterAutospacing="0" w:line="360" w:lineRule="auto"/>
        <w:ind w:firstLine="709"/>
        <w:jc w:val="both"/>
        <w:rPr>
          <w:rFonts w:ascii="Arial" w:hAnsi="Arial" w:cs="Arial"/>
          <w:b/>
          <w:bCs/>
          <w:sz w:val="20"/>
          <w:szCs w:val="20"/>
        </w:rPr>
      </w:pPr>
    </w:p>
    <w:p w14:paraId="17A8ED0A" w14:textId="442E7CB2"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r w:rsidRPr="00E316AC">
        <w:rPr>
          <w:rFonts w:ascii="Arial" w:hAnsi="Arial" w:cs="Arial"/>
          <w:sz w:val="20"/>
          <w:szCs w:val="20"/>
        </w:rPr>
        <w:t>Figura 2:</w:t>
      </w:r>
      <w:r w:rsidRPr="00891274">
        <w:rPr>
          <w:rFonts w:ascii="Arial" w:hAnsi="Arial" w:cs="Arial"/>
          <w:sz w:val="20"/>
          <w:szCs w:val="20"/>
        </w:rPr>
        <w:t xml:space="preserve"> Funcionamento do monitoramento eletrônico no Amazonas</w:t>
      </w:r>
    </w:p>
    <w:p w14:paraId="469A66D2" w14:textId="77777777"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891274">
        <w:rPr>
          <w:noProof/>
        </w:rPr>
        <w:drawing>
          <wp:inline distT="0" distB="0" distL="0" distR="0" wp14:anchorId="0FF4A57E" wp14:editId="0FA2EDB9">
            <wp:extent cx="3933825" cy="2038138"/>
            <wp:effectExtent l="0" t="0" r="0" b="635"/>
            <wp:docPr id="528223954" name="Imagem 1"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223954" name="Imagem 1" descr="Interface gráfica do usuário, Site&#10;&#10;O conteúdo gerado por IA pode estar incorreto."/>
                    <pic:cNvPicPr/>
                  </pic:nvPicPr>
                  <pic:blipFill rotWithShape="1">
                    <a:blip r:embed="rId16" cstate="print">
                      <a:extLst>
                        <a:ext uri="{28A0092B-C50C-407E-A947-70E740481C1C}">
                          <a14:useLocalDpi xmlns:a14="http://schemas.microsoft.com/office/drawing/2010/main" val="0"/>
                        </a:ext>
                      </a:extLst>
                    </a:blip>
                    <a:srcRect/>
                    <a:stretch>
                      <a:fillRect/>
                    </a:stretch>
                  </pic:blipFill>
                  <pic:spPr bwMode="auto">
                    <a:xfrm>
                      <a:off x="0" y="0"/>
                      <a:ext cx="3933825" cy="2038138"/>
                    </a:xfrm>
                    <a:prstGeom prst="rect">
                      <a:avLst/>
                    </a:prstGeom>
                    <a:ln>
                      <a:noFill/>
                    </a:ln>
                    <a:extLst>
                      <a:ext uri="{53640926-AAD7-44D8-BBD7-CCE9431645EC}">
                        <a14:shadowObscured xmlns:a14="http://schemas.microsoft.com/office/drawing/2010/main"/>
                      </a:ext>
                    </a:extLst>
                  </pic:spPr>
                </pic:pic>
              </a:graphicData>
            </a:graphic>
          </wp:inline>
        </w:drawing>
      </w:r>
    </w:p>
    <w:p w14:paraId="29E8238F" w14:textId="5DCBA4D6" w:rsidR="008F7D31" w:rsidRPr="00891274" w:rsidRDefault="00E316AC" w:rsidP="00E316AC">
      <w:pPr>
        <w:pStyle w:val="NormalWeb"/>
        <w:spacing w:before="0" w:beforeAutospacing="0" w:after="0" w:afterAutospacing="0" w:line="360" w:lineRule="auto"/>
        <w:jc w:val="center"/>
        <w:rPr>
          <w:rFonts w:ascii="Arial" w:hAnsi="Arial" w:cs="Arial"/>
          <w:sz w:val="20"/>
          <w:szCs w:val="20"/>
        </w:rPr>
      </w:pPr>
      <w:r>
        <w:rPr>
          <w:rFonts w:ascii="Arial" w:hAnsi="Arial" w:cs="Arial"/>
          <w:sz w:val="20"/>
          <w:szCs w:val="20"/>
        </w:rPr>
        <w:t>F</w:t>
      </w:r>
      <w:r w:rsidR="008F7D31" w:rsidRPr="00891274">
        <w:rPr>
          <w:rFonts w:ascii="Arial" w:hAnsi="Arial" w:cs="Arial"/>
          <w:sz w:val="20"/>
          <w:szCs w:val="20"/>
        </w:rPr>
        <w:t>onte: Banco de dados do COC/SEAP (2024).</w:t>
      </w:r>
    </w:p>
    <w:p w14:paraId="6F74E8E5" w14:textId="77777777" w:rsidR="008F7D31" w:rsidRPr="00891274" w:rsidRDefault="008F7D31" w:rsidP="008F7D31">
      <w:pPr>
        <w:pStyle w:val="NormalWeb"/>
        <w:spacing w:before="0" w:beforeAutospacing="0" w:after="0" w:afterAutospacing="0"/>
        <w:ind w:firstLine="708"/>
        <w:jc w:val="both"/>
        <w:rPr>
          <w:rFonts w:ascii="Arial" w:hAnsi="Arial" w:cs="Arial"/>
        </w:rPr>
      </w:pPr>
      <w:r w:rsidRPr="00891274">
        <w:rPr>
          <w:rFonts w:ascii="Arial" w:hAnsi="Arial" w:cs="Arial"/>
        </w:rPr>
        <w:t>A imagem ilustra o processo de rastreamento contínuo dos apenados, evidenciando a integração entre os dispositivos de monitoração e a central de controle. A tecnologia utilizada permite a localização em tempo real e a criação de zonas de exclusão, o que auxilia na fiscalização e cumprimento das medidas judiciais.</w:t>
      </w:r>
    </w:p>
    <w:p w14:paraId="23D3620A" w14:textId="77777777" w:rsidR="008F7D31" w:rsidRPr="00891274" w:rsidRDefault="008F7D31" w:rsidP="008F7D31">
      <w:pPr>
        <w:pStyle w:val="NormalWeb"/>
        <w:spacing w:before="0" w:beforeAutospacing="0" w:after="0" w:afterAutospacing="0"/>
        <w:ind w:firstLine="709"/>
        <w:jc w:val="both"/>
        <w:rPr>
          <w:rFonts w:ascii="Arial" w:hAnsi="Arial" w:cs="Arial"/>
          <w:b/>
          <w:bCs/>
          <w:sz w:val="20"/>
          <w:szCs w:val="20"/>
        </w:rPr>
      </w:pPr>
    </w:p>
    <w:p w14:paraId="7F64EAC7" w14:textId="1DE9F3C8" w:rsidR="008F7D31" w:rsidRPr="00891274" w:rsidRDefault="008F7D31" w:rsidP="00E316AC">
      <w:pPr>
        <w:pStyle w:val="NormalWeb"/>
        <w:spacing w:before="0" w:beforeAutospacing="0" w:after="0" w:afterAutospacing="0"/>
        <w:jc w:val="center"/>
        <w:rPr>
          <w:rFonts w:ascii="Arial" w:hAnsi="Arial" w:cs="Arial"/>
        </w:rPr>
      </w:pPr>
      <w:r w:rsidRPr="00E316AC">
        <w:rPr>
          <w:rFonts w:ascii="Arial" w:hAnsi="Arial" w:cs="Arial"/>
          <w:sz w:val="20"/>
          <w:szCs w:val="20"/>
        </w:rPr>
        <w:t>Figura 3:</w:t>
      </w:r>
      <w:r w:rsidRPr="00891274">
        <w:rPr>
          <w:rFonts w:ascii="Arial" w:hAnsi="Arial" w:cs="Arial"/>
          <w:sz w:val="20"/>
          <w:szCs w:val="20"/>
        </w:rPr>
        <w:t xml:space="preserve"> Dispositivo de Proteção à Vítima</w:t>
      </w:r>
    </w:p>
    <w:p w14:paraId="5D8FC9A1" w14:textId="37C323DD" w:rsidR="008F7D31" w:rsidRPr="00891274" w:rsidRDefault="00E316AC" w:rsidP="00E316AC">
      <w:pPr>
        <w:pStyle w:val="NormalWeb"/>
        <w:spacing w:before="0" w:beforeAutospacing="0" w:after="0" w:afterAutospacing="0" w:line="360" w:lineRule="auto"/>
        <w:jc w:val="center"/>
        <w:rPr>
          <w:rFonts w:ascii="Arial" w:hAnsi="Arial" w:cs="Arial"/>
          <w:sz w:val="20"/>
          <w:szCs w:val="20"/>
        </w:rPr>
      </w:pPr>
      <w:r w:rsidRPr="00891274">
        <w:rPr>
          <w:noProof/>
        </w:rPr>
        <w:drawing>
          <wp:inline distT="0" distB="0" distL="0" distR="0" wp14:anchorId="5443BA10" wp14:editId="4CA28D48">
            <wp:extent cx="4361390" cy="1609725"/>
            <wp:effectExtent l="0" t="0" r="1270" b="0"/>
            <wp:docPr id="1306958237" name="Imagem 1"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58237" name="Imagem 1" descr="Interface gráfica do usuário, Site&#10;&#10;O conteúdo gerado por IA pode estar incorreto."/>
                    <pic:cNvPicPr/>
                  </pic:nvPicPr>
                  <pic:blipFill rotWithShape="1">
                    <a:blip r:embed="rId17" cstate="print">
                      <a:extLst>
                        <a:ext uri="{28A0092B-C50C-407E-A947-70E740481C1C}">
                          <a14:useLocalDpi xmlns:a14="http://schemas.microsoft.com/office/drawing/2010/main" val="0"/>
                        </a:ext>
                      </a:extLst>
                    </a:blip>
                    <a:srcRect/>
                    <a:stretch>
                      <a:fillRect/>
                    </a:stretch>
                  </pic:blipFill>
                  <pic:spPr bwMode="auto">
                    <a:xfrm>
                      <a:off x="0" y="0"/>
                      <a:ext cx="4376616" cy="1615345"/>
                    </a:xfrm>
                    <a:prstGeom prst="rect">
                      <a:avLst/>
                    </a:prstGeom>
                    <a:ln>
                      <a:noFill/>
                    </a:ln>
                    <a:extLst>
                      <a:ext uri="{53640926-AAD7-44D8-BBD7-CCE9431645EC}">
                        <a14:shadowObscured xmlns:a14="http://schemas.microsoft.com/office/drawing/2010/main"/>
                      </a:ext>
                    </a:extLst>
                  </pic:spPr>
                </pic:pic>
              </a:graphicData>
            </a:graphic>
          </wp:inline>
        </w:drawing>
      </w:r>
    </w:p>
    <w:p w14:paraId="7F5A0A04" w14:textId="77777777"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891274">
        <w:rPr>
          <w:rFonts w:ascii="Arial" w:hAnsi="Arial" w:cs="Arial"/>
          <w:sz w:val="20"/>
          <w:szCs w:val="20"/>
        </w:rPr>
        <w:t>Fonte: Banco de dados do COC/SEAP (2024).</w:t>
      </w:r>
    </w:p>
    <w:p w14:paraId="3C3F4745" w14:textId="77777777" w:rsidR="008F7D31" w:rsidRPr="00891274" w:rsidRDefault="008F7D31" w:rsidP="008F7D31">
      <w:pPr>
        <w:pStyle w:val="NormalWeb"/>
        <w:spacing w:before="0" w:beforeAutospacing="0" w:after="0" w:afterAutospacing="0"/>
        <w:ind w:firstLine="709"/>
        <w:jc w:val="both"/>
        <w:rPr>
          <w:rFonts w:ascii="Arial" w:hAnsi="Arial" w:cs="Arial"/>
        </w:rPr>
      </w:pPr>
    </w:p>
    <w:p w14:paraId="372147A6" w14:textId="5E4F36F1" w:rsidR="008F7D31" w:rsidRDefault="008F7D31" w:rsidP="008F7D31">
      <w:pPr>
        <w:pStyle w:val="NormalWeb"/>
        <w:spacing w:before="0" w:beforeAutospacing="0" w:after="0" w:afterAutospacing="0"/>
        <w:ind w:firstLine="709"/>
        <w:jc w:val="both"/>
        <w:rPr>
          <w:rFonts w:ascii="Arial" w:hAnsi="Arial" w:cs="Arial"/>
          <w:b/>
          <w:bCs/>
          <w:sz w:val="20"/>
          <w:szCs w:val="20"/>
        </w:rPr>
      </w:pPr>
      <w:r w:rsidRPr="00891274">
        <w:rPr>
          <w:rFonts w:ascii="Arial" w:hAnsi="Arial" w:cs="Arial"/>
        </w:rPr>
        <w:t>A figura mostra o dispositivo de proteção individual destinado às vítimas, conhecido como “botão do pânico”. Ele permite que a vítima acione imediatamente a central de monitoramento em casos de emergência, especialmente quando há aproximação indevida do agressor, contribuindo para a prevenção de novos episódios de violência.</w:t>
      </w:r>
    </w:p>
    <w:p w14:paraId="60C71DF6" w14:textId="77777777" w:rsidR="008F7D31" w:rsidRDefault="008F7D31" w:rsidP="008F7D31">
      <w:pPr>
        <w:pStyle w:val="NormalWeb"/>
        <w:spacing w:before="0" w:beforeAutospacing="0" w:after="0" w:afterAutospacing="0" w:line="360" w:lineRule="auto"/>
        <w:ind w:firstLine="709"/>
        <w:jc w:val="both"/>
        <w:rPr>
          <w:rFonts w:ascii="Arial" w:hAnsi="Arial" w:cs="Arial"/>
          <w:b/>
          <w:bCs/>
          <w:sz w:val="20"/>
          <w:szCs w:val="20"/>
        </w:rPr>
      </w:pPr>
    </w:p>
    <w:p w14:paraId="513E0917" w14:textId="5A8451B1"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E316AC">
        <w:rPr>
          <w:rFonts w:ascii="Arial" w:hAnsi="Arial" w:cs="Arial"/>
          <w:sz w:val="20"/>
          <w:szCs w:val="20"/>
        </w:rPr>
        <w:t>Figura 4:</w:t>
      </w:r>
      <w:r w:rsidRPr="00891274">
        <w:rPr>
          <w:rFonts w:ascii="Arial" w:hAnsi="Arial" w:cs="Arial"/>
          <w:sz w:val="20"/>
          <w:szCs w:val="20"/>
        </w:rPr>
        <w:t xml:space="preserve"> Plataforma de Monitoramento</w:t>
      </w:r>
      <w:r w:rsidR="00E316AC">
        <w:rPr>
          <w:rFonts w:ascii="Arial" w:hAnsi="Arial" w:cs="Arial"/>
          <w:sz w:val="20"/>
          <w:szCs w:val="20"/>
        </w:rPr>
        <w:t>.</w:t>
      </w:r>
    </w:p>
    <w:p w14:paraId="53EFA174"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r w:rsidRPr="00891274">
        <w:rPr>
          <w:noProof/>
        </w:rPr>
        <w:drawing>
          <wp:inline distT="0" distB="0" distL="0" distR="0" wp14:anchorId="628D069C" wp14:editId="57437480">
            <wp:extent cx="5659993" cy="2171700"/>
            <wp:effectExtent l="0" t="0" r="1905" b="8890"/>
            <wp:docPr id="784767089" name="Imagem 1" descr="Interface gráfica do usuário, Aplicativ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67089" name="Imagem 1" descr="Interface gráfica do usuário, Aplicativo, Site&#10;&#10;O conteúdo gerado por IA pode estar incorreto."/>
                    <pic:cNvPicPr/>
                  </pic:nvPicPr>
                  <pic:blipFill rotWithShape="1">
                    <a:blip r:embed="rId18"/>
                    <a:srcRect l="13405" t="32315" r="13041" b="17486"/>
                    <a:stretch>
                      <a:fillRect/>
                    </a:stretch>
                  </pic:blipFill>
                  <pic:spPr bwMode="auto">
                    <a:xfrm>
                      <a:off x="0" y="0"/>
                      <a:ext cx="5659993" cy="2171700"/>
                    </a:xfrm>
                    <a:prstGeom prst="rect">
                      <a:avLst/>
                    </a:prstGeom>
                    <a:ln>
                      <a:noFill/>
                    </a:ln>
                    <a:extLst>
                      <a:ext uri="{53640926-AAD7-44D8-BBD7-CCE9431645EC}">
                        <a14:shadowObscured xmlns:a14="http://schemas.microsoft.com/office/drawing/2010/main"/>
                      </a:ext>
                    </a:extLst>
                  </pic:spPr>
                </pic:pic>
              </a:graphicData>
            </a:graphic>
          </wp:inline>
        </w:drawing>
      </w:r>
    </w:p>
    <w:p w14:paraId="2B11C0C6" w14:textId="77777777"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891274">
        <w:rPr>
          <w:rFonts w:ascii="Arial" w:hAnsi="Arial" w:cs="Arial"/>
          <w:sz w:val="20"/>
          <w:szCs w:val="20"/>
        </w:rPr>
        <w:t>Fonte: Banco de dados do COC/SEAP (2024).</w:t>
      </w:r>
    </w:p>
    <w:p w14:paraId="631D3967"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0862936E" w14:textId="31AD0711" w:rsidR="008F7D31"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A imagem apresenta a interface da plataforma web utilizada pela SEAP. Desenvolvida com tecnologia nacional, ela permite o acompanhamento detalhado das rotas, alertas e histórico de movimentação dos monitorados. A visualização em tempo real garante uma resposta mais rápida e eficaz das equipes de fiscalização.</w:t>
      </w:r>
    </w:p>
    <w:p w14:paraId="15DA64C7" w14:textId="77777777" w:rsidR="008F7D31" w:rsidRDefault="008F7D31" w:rsidP="008F7D31">
      <w:pPr>
        <w:pStyle w:val="NormalWeb"/>
        <w:spacing w:before="0" w:beforeAutospacing="0" w:after="0" w:afterAutospacing="0"/>
        <w:ind w:firstLine="709"/>
        <w:jc w:val="both"/>
        <w:rPr>
          <w:rFonts w:ascii="Arial" w:hAnsi="Arial" w:cs="Arial"/>
        </w:rPr>
      </w:pPr>
    </w:p>
    <w:p w14:paraId="4AA420DB" w14:textId="77777777" w:rsidR="008F7D31" w:rsidRPr="00891274" w:rsidRDefault="008F7D31" w:rsidP="008F7D31">
      <w:pPr>
        <w:pStyle w:val="NormalWeb"/>
        <w:spacing w:before="0" w:beforeAutospacing="0" w:after="0" w:afterAutospacing="0"/>
        <w:ind w:firstLine="709"/>
        <w:jc w:val="both"/>
        <w:rPr>
          <w:rFonts w:ascii="Arial" w:hAnsi="Arial" w:cs="Arial"/>
          <w:b/>
          <w:bCs/>
          <w:sz w:val="20"/>
          <w:szCs w:val="20"/>
        </w:rPr>
      </w:pPr>
    </w:p>
    <w:p w14:paraId="48BE89A0" w14:textId="15842CAD" w:rsidR="008F7D31" w:rsidRDefault="008F7D31" w:rsidP="008F7D31">
      <w:pPr>
        <w:pStyle w:val="NormalWeb"/>
        <w:spacing w:before="0" w:beforeAutospacing="0" w:after="0" w:afterAutospacing="0" w:line="360" w:lineRule="auto"/>
        <w:ind w:firstLine="709"/>
        <w:jc w:val="both"/>
        <w:rPr>
          <w:rFonts w:ascii="Arial" w:hAnsi="Arial" w:cs="Arial"/>
          <w:b/>
          <w:bCs/>
          <w:sz w:val="20"/>
          <w:szCs w:val="20"/>
        </w:rPr>
      </w:pPr>
    </w:p>
    <w:p w14:paraId="50B28E79" w14:textId="77777777"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E316AC">
        <w:rPr>
          <w:rFonts w:ascii="Arial" w:hAnsi="Arial" w:cs="Arial"/>
          <w:sz w:val="20"/>
          <w:szCs w:val="20"/>
        </w:rPr>
        <w:t>Figura 5:</w:t>
      </w:r>
      <w:r w:rsidRPr="00891274">
        <w:rPr>
          <w:rFonts w:ascii="Arial" w:hAnsi="Arial" w:cs="Arial"/>
          <w:sz w:val="20"/>
          <w:szCs w:val="20"/>
        </w:rPr>
        <w:t xml:space="preserve"> Equipe Multidisciplinar: Demandas Administrativas</w:t>
      </w:r>
    </w:p>
    <w:p w14:paraId="31C4191E" w14:textId="77777777" w:rsidR="008F7D31" w:rsidRPr="00891274" w:rsidRDefault="008F7D31" w:rsidP="00E316AC">
      <w:pPr>
        <w:pStyle w:val="NormalWeb"/>
        <w:spacing w:before="0" w:beforeAutospacing="0" w:after="0" w:afterAutospacing="0" w:line="360" w:lineRule="auto"/>
        <w:jc w:val="both"/>
        <w:rPr>
          <w:rFonts w:ascii="Arial" w:hAnsi="Arial" w:cs="Arial"/>
        </w:rPr>
      </w:pPr>
      <w:r w:rsidRPr="00891274">
        <w:rPr>
          <w:noProof/>
        </w:rPr>
        <w:drawing>
          <wp:anchor distT="0" distB="0" distL="114300" distR="114300" simplePos="0" relativeHeight="251666432" behindDoc="1" locked="0" layoutInCell="1" allowOverlap="1" wp14:anchorId="51D92692" wp14:editId="2FF735A3">
            <wp:simplePos x="0" y="0"/>
            <wp:positionH relativeFrom="column">
              <wp:posOffset>15240</wp:posOffset>
            </wp:positionH>
            <wp:positionV relativeFrom="paragraph">
              <wp:posOffset>14605</wp:posOffset>
            </wp:positionV>
            <wp:extent cx="5295900" cy="3117215"/>
            <wp:effectExtent l="0" t="0" r="0" b="6985"/>
            <wp:wrapNone/>
            <wp:docPr id="1" name="Gráfico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B04541D" w14:textId="77777777" w:rsidR="008F7D31" w:rsidRPr="00891274" w:rsidRDefault="008F7D31" w:rsidP="00E316AC">
      <w:pPr>
        <w:pStyle w:val="NormalWeb"/>
        <w:spacing w:before="0" w:beforeAutospacing="0" w:after="0" w:afterAutospacing="0" w:line="360" w:lineRule="auto"/>
        <w:jc w:val="both"/>
        <w:rPr>
          <w:rFonts w:ascii="Arial" w:hAnsi="Arial" w:cs="Arial"/>
        </w:rPr>
      </w:pPr>
    </w:p>
    <w:p w14:paraId="001BA991" w14:textId="77777777" w:rsidR="008F7D31" w:rsidRPr="00891274" w:rsidRDefault="008F7D31" w:rsidP="00E316AC">
      <w:pPr>
        <w:pStyle w:val="NormalWeb"/>
        <w:spacing w:before="0" w:beforeAutospacing="0" w:after="0" w:afterAutospacing="0" w:line="360" w:lineRule="auto"/>
        <w:jc w:val="both"/>
        <w:rPr>
          <w:rFonts w:ascii="Arial" w:hAnsi="Arial" w:cs="Arial"/>
        </w:rPr>
      </w:pPr>
    </w:p>
    <w:p w14:paraId="4044C8A9"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29D2E2F3"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1A594731"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6E0CDE24"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7EB305E2"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34F5A437"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4EA9A839"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5DA76F2B"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7B60A400"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45809CF8" w14:textId="77777777" w:rsidR="008F7D31" w:rsidRPr="00891274" w:rsidRDefault="008F7D31" w:rsidP="00E316AC">
      <w:pPr>
        <w:pStyle w:val="NormalWeb"/>
        <w:spacing w:before="0" w:beforeAutospacing="0" w:after="0" w:afterAutospacing="0" w:line="360" w:lineRule="auto"/>
        <w:jc w:val="both"/>
        <w:rPr>
          <w:rFonts w:ascii="Arial" w:hAnsi="Arial" w:cs="Arial"/>
          <w:sz w:val="20"/>
          <w:szCs w:val="20"/>
        </w:rPr>
      </w:pPr>
    </w:p>
    <w:p w14:paraId="7212B16E"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522DB2E9" w14:textId="39D18DD3"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891274">
        <w:rPr>
          <w:rFonts w:ascii="Arial" w:hAnsi="Arial" w:cs="Arial"/>
          <w:sz w:val="20"/>
          <w:szCs w:val="20"/>
        </w:rPr>
        <w:t>Fonte: Banco de dados do COC/SEAP (2024).</w:t>
      </w:r>
    </w:p>
    <w:p w14:paraId="3E35687D" w14:textId="77777777" w:rsidR="008F7D31" w:rsidRPr="00891274" w:rsidRDefault="008F7D31" w:rsidP="008F7D31">
      <w:pPr>
        <w:pStyle w:val="NormalWeb"/>
        <w:spacing w:before="0" w:beforeAutospacing="0" w:after="0" w:afterAutospacing="0"/>
        <w:ind w:firstLine="709"/>
        <w:jc w:val="both"/>
        <w:rPr>
          <w:rFonts w:ascii="Arial" w:hAnsi="Arial" w:cs="Arial"/>
        </w:rPr>
      </w:pPr>
    </w:p>
    <w:p w14:paraId="21F66711"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 xml:space="preserve">De acordo com a figura 5, é possível perceber que, ao longo do tempo e o aumento de monitorados, as demandas administrativas cada vez mais se acumulam, demonstra-se, então, o desafio da necessidade em expandir o quadro de pessoal para um monitoramento mais eficaz. </w:t>
      </w:r>
    </w:p>
    <w:p w14:paraId="04DCC0FC" w14:textId="77777777" w:rsidR="008F7D31" w:rsidRPr="00891274" w:rsidRDefault="008F7D31" w:rsidP="008F7D31">
      <w:pPr>
        <w:pStyle w:val="NormalWeb"/>
        <w:spacing w:before="0" w:beforeAutospacing="0" w:after="0" w:afterAutospacing="0"/>
        <w:ind w:firstLine="709"/>
        <w:jc w:val="both"/>
        <w:rPr>
          <w:rFonts w:ascii="Arial" w:hAnsi="Arial" w:cs="Arial"/>
        </w:rPr>
      </w:pPr>
    </w:p>
    <w:p w14:paraId="23E433CE" w14:textId="77777777" w:rsidR="008F7D31" w:rsidRPr="00891274" w:rsidRDefault="008F7D31" w:rsidP="00E316AC">
      <w:pPr>
        <w:pStyle w:val="NormalWeb"/>
        <w:spacing w:before="0" w:beforeAutospacing="0" w:after="0" w:afterAutospacing="0" w:line="360" w:lineRule="auto"/>
        <w:jc w:val="center"/>
        <w:rPr>
          <w:rFonts w:ascii="Arial" w:hAnsi="Arial" w:cs="Arial"/>
        </w:rPr>
      </w:pPr>
      <w:r w:rsidRPr="00E316AC">
        <w:rPr>
          <w:rFonts w:ascii="Arial" w:hAnsi="Arial" w:cs="Arial"/>
          <w:sz w:val="20"/>
          <w:szCs w:val="20"/>
        </w:rPr>
        <w:t>Figura 6:</w:t>
      </w:r>
      <w:r w:rsidRPr="00891274">
        <w:rPr>
          <w:rFonts w:ascii="Arial" w:hAnsi="Arial" w:cs="Arial"/>
          <w:sz w:val="20"/>
          <w:szCs w:val="20"/>
        </w:rPr>
        <w:t xml:space="preserve"> Equipe Multidisciplinar: Plano de Trabalho</w:t>
      </w:r>
    </w:p>
    <w:p w14:paraId="04A4186B" w14:textId="77777777" w:rsidR="008F7D31" w:rsidRPr="00891274" w:rsidRDefault="008F7D31" w:rsidP="00BB2632">
      <w:pPr>
        <w:pStyle w:val="NormalWeb"/>
        <w:spacing w:before="0" w:beforeAutospacing="0" w:after="0" w:afterAutospacing="0" w:line="360" w:lineRule="auto"/>
        <w:jc w:val="center"/>
        <w:rPr>
          <w:noProof/>
        </w:rPr>
      </w:pPr>
      <w:r w:rsidRPr="00891274">
        <w:rPr>
          <w:noProof/>
        </w:rPr>
        <w:drawing>
          <wp:inline distT="0" distB="0" distL="0" distR="0" wp14:anchorId="0BCFBE9B" wp14:editId="563BFD83">
            <wp:extent cx="5162550" cy="2743200"/>
            <wp:effectExtent l="0" t="0" r="0" b="0"/>
            <wp:docPr id="2" name="Gráfico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49654A" w14:textId="373AA8CD"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891274">
        <w:rPr>
          <w:rFonts w:ascii="Arial" w:hAnsi="Arial" w:cs="Arial"/>
          <w:sz w:val="20"/>
          <w:szCs w:val="20"/>
        </w:rPr>
        <w:t>Fonte: Banco de dados do COC/SEAP (2024).</w:t>
      </w:r>
    </w:p>
    <w:p w14:paraId="68BF85FF"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Nesse diapasão, isso ocorre também com a equipe multidisciplinar por ser bem reduzida, explicitado na figura 6, configurando assim uma falha na execução em atender os indivíduos controlados.</w:t>
      </w:r>
    </w:p>
    <w:p w14:paraId="168477BB" w14:textId="77777777" w:rsidR="008F7D31" w:rsidRPr="00891274" w:rsidRDefault="008F7D31" w:rsidP="008F7D31">
      <w:pPr>
        <w:pStyle w:val="NormalWeb"/>
        <w:spacing w:before="0" w:beforeAutospacing="0" w:after="0" w:afterAutospacing="0"/>
        <w:ind w:firstLine="709"/>
        <w:jc w:val="both"/>
        <w:rPr>
          <w:rFonts w:ascii="Arial" w:hAnsi="Arial" w:cs="Arial"/>
        </w:rPr>
      </w:pPr>
    </w:p>
    <w:p w14:paraId="72F21094" w14:textId="517BCB00"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E316AC">
        <w:rPr>
          <w:rFonts w:ascii="Arial" w:hAnsi="Arial" w:cs="Arial"/>
          <w:sz w:val="20"/>
          <w:szCs w:val="20"/>
        </w:rPr>
        <w:t>Figura 7:</w:t>
      </w:r>
      <w:r w:rsidRPr="00891274">
        <w:rPr>
          <w:rFonts w:ascii="Arial" w:hAnsi="Arial" w:cs="Arial"/>
          <w:sz w:val="20"/>
          <w:szCs w:val="20"/>
        </w:rPr>
        <w:t xml:space="preserve"> Equipe Multidisciplinar: Beneficiários</w:t>
      </w:r>
    </w:p>
    <w:p w14:paraId="4B730131" w14:textId="77777777" w:rsidR="008F7D31" w:rsidRPr="00891274" w:rsidRDefault="008F7D31" w:rsidP="008F7D31">
      <w:pPr>
        <w:pStyle w:val="NormalWeb"/>
        <w:spacing w:before="0" w:beforeAutospacing="0" w:after="0" w:afterAutospacing="0" w:line="360" w:lineRule="auto"/>
        <w:ind w:firstLine="709"/>
        <w:jc w:val="both"/>
        <w:rPr>
          <w:noProof/>
        </w:rPr>
      </w:pPr>
      <w:r w:rsidRPr="00891274">
        <w:rPr>
          <w:noProof/>
        </w:rPr>
        <w:drawing>
          <wp:anchor distT="0" distB="0" distL="114300" distR="114300" simplePos="0" relativeHeight="251667456" behindDoc="1" locked="0" layoutInCell="1" allowOverlap="1" wp14:anchorId="3377BB50" wp14:editId="5C844810">
            <wp:simplePos x="0" y="0"/>
            <wp:positionH relativeFrom="margin">
              <wp:posOffset>52070</wp:posOffset>
            </wp:positionH>
            <wp:positionV relativeFrom="paragraph">
              <wp:posOffset>7620</wp:posOffset>
            </wp:positionV>
            <wp:extent cx="5132717" cy="2647950"/>
            <wp:effectExtent l="0" t="0" r="10795" b="0"/>
            <wp:wrapNone/>
            <wp:docPr id="3" name="Gráfico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anchor>
        </w:drawing>
      </w:r>
    </w:p>
    <w:p w14:paraId="16017F5B"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527F95A2"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039C3DF3"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1C013B71"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76521F4F"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478821EB" w14:textId="77777777" w:rsidR="008F7D31" w:rsidRPr="00891274" w:rsidRDefault="008F7D31" w:rsidP="008F7D31">
      <w:pPr>
        <w:pStyle w:val="NormalWeb"/>
        <w:spacing w:before="0" w:beforeAutospacing="0" w:after="0" w:afterAutospacing="0" w:line="360" w:lineRule="auto"/>
        <w:jc w:val="both"/>
        <w:rPr>
          <w:rFonts w:ascii="Arial" w:hAnsi="Arial" w:cs="Arial"/>
          <w:sz w:val="20"/>
          <w:szCs w:val="20"/>
        </w:rPr>
      </w:pPr>
    </w:p>
    <w:p w14:paraId="4C8A16E7" w14:textId="77777777" w:rsidR="008F7D31" w:rsidRPr="00891274" w:rsidRDefault="008F7D31" w:rsidP="008F7D31">
      <w:pPr>
        <w:pStyle w:val="NormalWeb"/>
        <w:spacing w:before="0" w:beforeAutospacing="0" w:after="0" w:afterAutospacing="0" w:line="360" w:lineRule="auto"/>
        <w:jc w:val="both"/>
        <w:rPr>
          <w:rFonts w:ascii="Arial" w:hAnsi="Arial" w:cs="Arial"/>
          <w:sz w:val="20"/>
          <w:szCs w:val="20"/>
        </w:rPr>
      </w:pPr>
    </w:p>
    <w:p w14:paraId="689D7049"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7AE98E96"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6D100A2C"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1B633997" w14:textId="77777777" w:rsidR="008F7D31" w:rsidRPr="00891274" w:rsidRDefault="008F7D31" w:rsidP="008F7D31">
      <w:pPr>
        <w:pStyle w:val="NormalWeb"/>
        <w:spacing w:before="0" w:beforeAutospacing="0" w:after="0" w:afterAutospacing="0" w:line="360" w:lineRule="auto"/>
        <w:ind w:firstLine="709"/>
        <w:jc w:val="both"/>
        <w:rPr>
          <w:rFonts w:ascii="Arial" w:hAnsi="Arial" w:cs="Arial"/>
          <w:sz w:val="20"/>
          <w:szCs w:val="20"/>
        </w:rPr>
      </w:pPr>
    </w:p>
    <w:p w14:paraId="00523D50" w14:textId="77777777" w:rsidR="008F7D31" w:rsidRPr="00891274" w:rsidRDefault="008F7D31" w:rsidP="00E316AC">
      <w:pPr>
        <w:pStyle w:val="NormalWeb"/>
        <w:spacing w:before="0" w:beforeAutospacing="0" w:after="0" w:afterAutospacing="0" w:line="360" w:lineRule="auto"/>
        <w:jc w:val="center"/>
        <w:rPr>
          <w:rFonts w:ascii="Arial" w:hAnsi="Arial" w:cs="Arial"/>
          <w:sz w:val="20"/>
          <w:szCs w:val="20"/>
        </w:rPr>
      </w:pPr>
      <w:r w:rsidRPr="00891274">
        <w:rPr>
          <w:rFonts w:ascii="Arial" w:hAnsi="Arial" w:cs="Arial"/>
          <w:sz w:val="20"/>
          <w:szCs w:val="20"/>
        </w:rPr>
        <w:t>Fonte: Banco de dados do COC/SEAP (2024).</w:t>
      </w:r>
    </w:p>
    <w:p w14:paraId="6E06C6CE" w14:textId="77777777" w:rsidR="008F7D31" w:rsidRPr="00891274" w:rsidRDefault="008F7D31" w:rsidP="008F7D31">
      <w:pPr>
        <w:pStyle w:val="NormalWeb"/>
        <w:spacing w:before="0" w:beforeAutospacing="0" w:after="0" w:afterAutospacing="0"/>
        <w:ind w:firstLine="709"/>
        <w:jc w:val="both"/>
        <w:rPr>
          <w:rFonts w:ascii="Arial" w:hAnsi="Arial" w:cs="Arial"/>
        </w:rPr>
      </w:pPr>
    </w:p>
    <w:p w14:paraId="1505B524" w14:textId="77777777" w:rsidR="008F7D31" w:rsidRPr="00891274" w:rsidRDefault="008F7D31" w:rsidP="008F7D31">
      <w:pPr>
        <w:pStyle w:val="NormalWeb"/>
        <w:spacing w:before="0" w:beforeAutospacing="0" w:after="0" w:afterAutospacing="0"/>
        <w:ind w:firstLine="709"/>
        <w:jc w:val="both"/>
        <w:rPr>
          <w:rFonts w:ascii="Arial" w:hAnsi="Arial" w:cs="Arial"/>
          <w:sz w:val="20"/>
          <w:szCs w:val="20"/>
        </w:rPr>
      </w:pPr>
      <w:r w:rsidRPr="00891274">
        <w:rPr>
          <w:rFonts w:ascii="Arial" w:hAnsi="Arial" w:cs="Arial"/>
        </w:rPr>
        <w:t>A figura evidencia o alcance dos serviços prestados pela equipe multidisciplinar aos indivíduos monitorados. Destaca-se a atuação de um número reduzido de profissionais frente à grande demanda, o que compromete a qualidade do acompanhamento psicossocial e a efetividade das ações de reintegração social propostas.</w:t>
      </w:r>
    </w:p>
    <w:p w14:paraId="1702E1F3"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A equipe multidisciplinar conta com 1 supervisor, 4 psicólogos, 3 assistentes sociais e 2 analistas jurídicos.  Dos serviços oferecidos pelo COC/SEAP são: monitoramento e apoio ao público monitorado, que inclui a instalação, manutenção, desinstalação e vigilância de tornozeleiras eletrônicas, além de acompanhamento psicossocial e visitas regulares; serviços assistenciais e multidisciplinares: equipe composta por assistentes sociais, analistas jurídicos e psicólogos oferecem orientações, grupos reflexivos e encaminhamentos para a rede de proteção social; apoio psicossocial e identificação de vulnerabilidades: acompanhamento contínuo, identificação de pessoas em risco e proposição de intervenções para substituição de medidas mais danosas; botão do pânico para as vítimas: dispositivo que aumenta a segurança preventiva das vítimas e monitora a ação dos agressores, através de áreas de exclusão fixas e dinâmicas.; campanhas e sensibilização: realização de campanhas de conscientização e ações para promover a reintegração social e a segurança tanto das vítimas quanto dos monitorados.</w:t>
      </w:r>
    </w:p>
    <w:p w14:paraId="64A2DFC5"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Embora o sistema de monitoramento eletrônico no Amazonas disponha de tecnologia moderna e uma estrutura adequada para operar em grande escala, sua eficácia ainda enfrenta desafios decorrentes de limitações tanto estruturais quanto humanas. A sobrecarga dos profissionais, combinada com a insuficiência de especialistas, compromete a capacidade de oferecer um atendimento personalizado e alcançar plenamente os objetivos relacionados à reintegração social. Para melhorar o desempenho e promover um atendimento mais humanizado, é essencial ampliar o número de profissionais, especialmente nas equipes multidisciplinares, além de investir continuamente na gestão e atualização dos recursos tecnológicos disponíveis.</w:t>
      </w:r>
    </w:p>
    <w:p w14:paraId="3E4E46F5" w14:textId="73456A04" w:rsidR="008F7D31" w:rsidRPr="00891274" w:rsidRDefault="008F7D31" w:rsidP="008F7D31">
      <w:pPr>
        <w:pStyle w:val="NormalWeb"/>
        <w:tabs>
          <w:tab w:val="left" w:pos="1965"/>
        </w:tabs>
        <w:spacing w:before="0" w:beforeAutospacing="0" w:after="0" w:afterAutospacing="0"/>
        <w:jc w:val="both"/>
        <w:rPr>
          <w:rFonts w:ascii="Arial" w:hAnsi="Arial" w:cs="Arial"/>
          <w:b/>
          <w:bCs/>
        </w:rPr>
      </w:pPr>
      <w:r w:rsidRPr="00891274">
        <w:rPr>
          <w:rFonts w:ascii="Arial" w:hAnsi="Arial" w:cs="Arial"/>
          <w:b/>
          <w:bCs/>
        </w:rPr>
        <w:t>Do Panóptico à Tornozeleira: a atualização tecnológica da vigilância penal</w:t>
      </w:r>
    </w:p>
    <w:p w14:paraId="5C04EB0F" w14:textId="77777777" w:rsidR="008F7D31" w:rsidRPr="00891274" w:rsidRDefault="008F7D31" w:rsidP="008F7D31">
      <w:pPr>
        <w:pStyle w:val="NormalWeb"/>
        <w:tabs>
          <w:tab w:val="left" w:pos="1965"/>
        </w:tabs>
        <w:spacing w:before="0" w:beforeAutospacing="0" w:after="0" w:afterAutospacing="0"/>
        <w:jc w:val="both"/>
        <w:rPr>
          <w:rFonts w:ascii="Arial" w:hAnsi="Arial" w:cs="Arial"/>
          <w:b/>
          <w:bCs/>
        </w:rPr>
      </w:pPr>
    </w:p>
    <w:p w14:paraId="43BA9848"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 xml:space="preserve">Na obra </w:t>
      </w:r>
      <w:r w:rsidRPr="00891274">
        <w:rPr>
          <w:rFonts w:ascii="Arial" w:eastAsia="Times New Roman" w:hAnsi="Arial" w:cs="Arial"/>
          <w:i/>
          <w:iCs/>
          <w:sz w:val="24"/>
          <w:szCs w:val="24"/>
          <w:lang w:eastAsia="pt-BR"/>
        </w:rPr>
        <w:t>Vigiar e Punir: nascimento da prisão</w:t>
      </w:r>
      <w:r w:rsidRPr="00891274">
        <w:rPr>
          <w:rFonts w:ascii="Arial" w:eastAsia="Times New Roman" w:hAnsi="Arial" w:cs="Arial"/>
          <w:sz w:val="24"/>
          <w:szCs w:val="24"/>
          <w:lang w:eastAsia="pt-BR"/>
        </w:rPr>
        <w:t xml:space="preserve">, Michel Foucault (2014) analisa a transformação dos mecanismos de punição e estabelece a centralidade do olhar como elemento estruturante do sistema punitivo moderno. A descrição do suplício de </w:t>
      </w:r>
      <w:proofErr w:type="spellStart"/>
      <w:r w:rsidRPr="00891274">
        <w:rPr>
          <w:rFonts w:ascii="Arial" w:eastAsia="Times New Roman" w:hAnsi="Arial" w:cs="Arial"/>
          <w:sz w:val="24"/>
          <w:szCs w:val="24"/>
          <w:lang w:eastAsia="pt-BR"/>
        </w:rPr>
        <w:t>Damiens</w:t>
      </w:r>
      <w:proofErr w:type="spellEnd"/>
      <w:r w:rsidRPr="00891274">
        <w:rPr>
          <w:rFonts w:ascii="Arial" w:eastAsia="Times New Roman" w:hAnsi="Arial" w:cs="Arial"/>
          <w:sz w:val="24"/>
          <w:szCs w:val="24"/>
          <w:lang w:eastAsia="pt-BR"/>
        </w:rPr>
        <w:t>, apresentada logo nas primeiras páginas, ilustra como o poder se manifestava publicamente por meio da dor e do espetáculo. Entretanto, ao longo do tempo, esse modelo dá lugar a formas mais sutis e eficientes de controle, em que a vigilância se torna estratégica, silenciosa e constante.</w:t>
      </w:r>
    </w:p>
    <w:p w14:paraId="6870E955"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É nesse contexto que o autor desenvolve o conceito de panoptismo, inspirado na proposta arquitetônica do Panóptico de Jeremy Bentham, do século XVIII. Trata-se de uma estrutura prisional circular, com uma torre central que permite a observação de todos os internos sem que estes saibam quando, de fato, estão sendo vigiados. A essência dessa configuração está menos na vigilância direta e mais na internalização do controle: os indivíduos passam a se comportar como se estivessem sob observação permanente, o que gera um processo de autodisciplina. Para Foucault (2014), a visibilidade torna-se armadilha, e a arquitetura converte-se em um dispositivo que produz subjetividades dóceis e normalizadas.</w:t>
      </w:r>
    </w:p>
    <w:p w14:paraId="4EB4404A"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Atualmente, a monitoração eletrônica se consolida como uma das tecnologias penais emergentes, exigindo reflexões críticas sobre sua conformidade com princípios constitucionais e os impactos que gera na dignidade dos monitorados (Rezende, 2020). No Brasil, a ampliação do uso de tornozeleiras eletrônicas tem sido justificada pela sua suposta eficácia na redução dos custos carcerários, apresentando-se como alternativa economicamente viável ao encarceramento tradicional (Rezende, 2020). No entanto, diversas críticas evidenciam que essa prática muitas vezes reforça uma lógica puramente vigilante, esvaziando seu potencial ressocializador e invadindo aspectos íntimos da vida cotidiana dos indivíduos (</w:t>
      </w:r>
      <w:proofErr w:type="spellStart"/>
      <w:r w:rsidRPr="00891274">
        <w:rPr>
          <w:rFonts w:ascii="Arial" w:eastAsia="Times New Roman" w:hAnsi="Arial" w:cs="Arial"/>
          <w:sz w:val="24"/>
          <w:szCs w:val="24"/>
          <w:lang w:eastAsia="pt-BR"/>
        </w:rPr>
        <w:t>Wermuth</w:t>
      </w:r>
      <w:proofErr w:type="spellEnd"/>
      <w:r w:rsidRPr="00891274">
        <w:rPr>
          <w:rFonts w:ascii="Arial" w:eastAsia="Times New Roman" w:hAnsi="Arial" w:cs="Arial"/>
          <w:sz w:val="24"/>
          <w:szCs w:val="24"/>
          <w:lang w:eastAsia="pt-BR"/>
        </w:rPr>
        <w:t>; Chini, 2021).</w:t>
      </w:r>
    </w:p>
    <w:p w14:paraId="74132BA0"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Essa dinâmica ressoa a microfísica do poder, conceito foucaultiano que descreve a atuação dos mecanismos de dominação nos detalhes e nas margens da vida social. Segundo Foucault (2014, p. 191), o Panóptico institui “um estado consciente e permanente de visibilidade que assegura o funcionamento automático do poder”. Transposta para o contexto da monitoração eletrônica, essa lógica manifesta-se de forma atualizada: a tornozeleira, embora oficialmente apresentada como instrumento de liberdade supervisionada, estabelece um regime de hipervisibilidade digital. O paradoxo reside justamente nessa ambivalência – a aparente ampliação de autonomia convive com a intensificação da vigilância, estruturando-se como uma “tecnologia de poder que se exerce de modo descentralizado e contínuo” (</w:t>
      </w:r>
      <w:proofErr w:type="spellStart"/>
      <w:r w:rsidRPr="00891274">
        <w:rPr>
          <w:rFonts w:ascii="Arial" w:eastAsia="Times New Roman" w:hAnsi="Arial" w:cs="Arial"/>
          <w:sz w:val="24"/>
          <w:szCs w:val="24"/>
          <w:lang w:eastAsia="pt-BR"/>
        </w:rPr>
        <w:t>Wermuth</w:t>
      </w:r>
      <w:proofErr w:type="spellEnd"/>
      <w:r w:rsidRPr="00891274">
        <w:rPr>
          <w:rFonts w:ascii="Arial" w:eastAsia="Times New Roman" w:hAnsi="Arial" w:cs="Arial"/>
          <w:sz w:val="24"/>
          <w:szCs w:val="24"/>
          <w:lang w:eastAsia="pt-BR"/>
        </w:rPr>
        <w:t>; Mori, 2021, p. 183).</w:t>
      </w:r>
    </w:p>
    <w:p w14:paraId="1E7D83AD" w14:textId="77777777" w:rsidR="008F7D31"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 xml:space="preserve">Na era digital, portanto, a assimetria panóptica assume novas formas. Se no modelo original o controle se materializava na arquitetura prisional, hoje ele se opera por meio de sensores, algoritmos e sistemas remotos de rastreamento, que estendem o olhar disciplinador para além dos muros institucionais. Como alertam </w:t>
      </w:r>
      <w:proofErr w:type="spellStart"/>
      <w:r w:rsidRPr="00891274">
        <w:rPr>
          <w:rFonts w:ascii="Arial" w:eastAsia="Times New Roman" w:hAnsi="Arial" w:cs="Arial"/>
          <w:sz w:val="24"/>
          <w:szCs w:val="24"/>
          <w:lang w:eastAsia="pt-BR"/>
        </w:rPr>
        <w:t>Wermuth</w:t>
      </w:r>
      <w:proofErr w:type="spellEnd"/>
      <w:r w:rsidRPr="00891274">
        <w:rPr>
          <w:rFonts w:ascii="Arial" w:eastAsia="Times New Roman" w:hAnsi="Arial" w:cs="Arial"/>
          <w:sz w:val="24"/>
          <w:szCs w:val="24"/>
          <w:lang w:eastAsia="pt-BR"/>
        </w:rPr>
        <w:t xml:space="preserve"> e Chini (2021), a ausência de vigilância direta não elimina seu efeito disciplinador – ao contrário, a simples possibilidade de estar sendo monitorado continuamente internaliza-se como mecanismo de autocontrole, reconfigurando o “poder automático” descrito por Foucault (2014) em uma nova base tecnológica.</w:t>
      </w:r>
    </w:p>
    <w:p w14:paraId="6BABB608"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p>
    <w:p w14:paraId="503142B6" w14:textId="1CED4AAA" w:rsidR="008F7D31" w:rsidRPr="00891274" w:rsidRDefault="008F7D31" w:rsidP="008F7D31">
      <w:pPr>
        <w:spacing w:after="0" w:line="240" w:lineRule="auto"/>
        <w:jc w:val="both"/>
        <w:rPr>
          <w:rFonts w:ascii="Arial" w:eastAsia="Times New Roman" w:hAnsi="Arial" w:cs="Arial"/>
          <w:sz w:val="24"/>
          <w:szCs w:val="24"/>
          <w:lang w:eastAsia="pt-BR"/>
        </w:rPr>
      </w:pPr>
      <w:r w:rsidRPr="00891274">
        <w:rPr>
          <w:rFonts w:ascii="Arial" w:hAnsi="Arial" w:cs="Arial"/>
          <w:b/>
          <w:bCs/>
          <w:iCs/>
          <w:sz w:val="24"/>
          <w:szCs w:val="24"/>
        </w:rPr>
        <w:t>Reflexões Éticas e Direitos Humanos na Monitoração Eletrônica</w:t>
      </w:r>
    </w:p>
    <w:p w14:paraId="0CD9292C" w14:textId="77777777" w:rsidR="008F7D31" w:rsidRPr="00891274" w:rsidRDefault="008F7D31" w:rsidP="008F7D31">
      <w:pPr>
        <w:spacing w:after="0" w:line="360" w:lineRule="auto"/>
        <w:ind w:firstLine="851"/>
        <w:jc w:val="both"/>
        <w:rPr>
          <w:rFonts w:ascii="Arial" w:hAnsi="Arial" w:cs="Arial"/>
          <w:iCs/>
          <w:sz w:val="24"/>
          <w:szCs w:val="24"/>
        </w:rPr>
      </w:pPr>
    </w:p>
    <w:p w14:paraId="020D236D"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Desde o advento dos acontecimentos, a tecnologia de monitoração eletrônica suscita relevantes questionamentos de natureza ética, especialmente no que tange à potenciais violações à privacidade e ao risco de intensificação de mecanismos de controle social, como já evidenciado nos estudos fundacionais conduzidos nos Estados Unidos (</w:t>
      </w:r>
      <w:proofErr w:type="spellStart"/>
      <w:r w:rsidRPr="00891274">
        <w:rPr>
          <w:rFonts w:ascii="Arial" w:hAnsi="Arial" w:cs="Arial"/>
        </w:rPr>
        <w:t>Schwitzgebel</w:t>
      </w:r>
      <w:proofErr w:type="spellEnd"/>
      <w:r w:rsidRPr="00891274">
        <w:rPr>
          <w:rFonts w:ascii="Arial" w:hAnsi="Arial" w:cs="Arial"/>
        </w:rPr>
        <w:t>, 1969).</w:t>
      </w:r>
    </w:p>
    <w:p w14:paraId="4D14C70B"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No contexto brasileiro, essas inquietações assumem contornos ainda mais complexos, tendo em vista as contradições inerentes à aplicação dessa tecnologia. Embora seu discurso institucional esteja fundamentado na promoção da liberdade supervisionada e na facilitação da reintegração social, observa-se, em grande medida, a prevalência de uma lógica punitiva e de vigilância, que frequentemente se sobrepõe à observância dos direitos humanos (</w:t>
      </w:r>
      <w:proofErr w:type="spellStart"/>
      <w:r w:rsidRPr="00891274">
        <w:rPr>
          <w:rFonts w:ascii="Arial" w:hAnsi="Arial" w:cs="Arial"/>
        </w:rPr>
        <w:t>Wermuth</w:t>
      </w:r>
      <w:proofErr w:type="spellEnd"/>
      <w:r w:rsidRPr="00891274">
        <w:rPr>
          <w:rFonts w:ascii="Arial" w:hAnsi="Arial" w:cs="Arial"/>
        </w:rPr>
        <w:t>, 2022).</w:t>
      </w:r>
    </w:p>
    <w:p w14:paraId="3124BE8D"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Nesse sentido, é imperativo considerar que a discussão ética em torno da monitoração eletrônica transcende a mera aferição de sua eficácia no controle penal. Torna-se necessário problematizar os impactos sociais, psicológicos e subjetivos impostos aos indivíduos monitorados, os quais, em muitos casos, internalizam a vigilância e passam a exercer sobre si mesmos uma forma de autocontrole permanente, conforme argumenta Campelo (2019).</w:t>
      </w:r>
    </w:p>
    <w:p w14:paraId="69AEF1A0" w14:textId="77777777" w:rsidR="008F7D31" w:rsidRPr="00891274" w:rsidRDefault="008F7D31" w:rsidP="008F7D31">
      <w:pPr>
        <w:pStyle w:val="NormalWeb"/>
        <w:spacing w:before="0" w:beforeAutospacing="0" w:after="0" w:afterAutospacing="0"/>
        <w:ind w:firstLine="709"/>
        <w:jc w:val="both"/>
        <w:rPr>
          <w:rFonts w:ascii="Arial" w:hAnsi="Arial" w:cs="Arial"/>
        </w:rPr>
      </w:pPr>
      <w:r w:rsidRPr="00891274">
        <w:rPr>
          <w:rFonts w:ascii="Arial" w:hAnsi="Arial" w:cs="Arial"/>
        </w:rPr>
        <w:t>Dessa forma, impõe-se a necessidade de construção de um modelo de gestão da segurança pública que consiga articular o uso legítimo da tecnologia com a garantia dos direitos fundamentais. Para tanto, a implementação da monitoração eletrônica deve estar alicerçada em princípios éticos sólidos, assegurando tanto a eficácia do acompanhamento quanto a preservação da dignidade, da autonomia e da privacidade dos sujeitos envolvidos (Mendonça, 2024).</w:t>
      </w:r>
    </w:p>
    <w:p w14:paraId="624BFCF5" w14:textId="357337C9" w:rsidR="008F7D31" w:rsidRPr="008F7D31" w:rsidRDefault="008F7D31" w:rsidP="008F7D31">
      <w:pPr>
        <w:pStyle w:val="NormalWeb"/>
        <w:spacing w:before="0" w:beforeAutospacing="0" w:after="0" w:afterAutospacing="0"/>
        <w:ind w:firstLine="708"/>
        <w:jc w:val="both"/>
        <w:rPr>
          <w:rFonts w:ascii="Arial" w:hAnsi="Arial" w:cs="Arial"/>
        </w:rPr>
      </w:pPr>
      <w:r w:rsidRPr="00891274">
        <w:rPr>
          <w:rFonts w:ascii="Arial" w:hAnsi="Arial" w:cs="Arial"/>
        </w:rPr>
        <w:t>Quando adequadamente regulada e aplicada, essa tecnologia pode constituir-se em instrumento valioso não apenas para o fortalecimento da segurança, mas também para a promoção da justiça social e da cidadania (Pimenta, 2017).</w:t>
      </w:r>
    </w:p>
    <w:p w14:paraId="18343738" w14:textId="77777777" w:rsidR="008F7D31" w:rsidRPr="00891274" w:rsidRDefault="008F7D31" w:rsidP="008F7D31">
      <w:pPr>
        <w:spacing w:after="0" w:line="360" w:lineRule="auto"/>
        <w:jc w:val="both"/>
        <w:rPr>
          <w:rFonts w:ascii="Arial" w:hAnsi="Arial" w:cs="Arial"/>
          <w:b/>
          <w:bCs/>
        </w:rPr>
      </w:pPr>
    </w:p>
    <w:p w14:paraId="2E0443FC" w14:textId="03420506" w:rsidR="008F7D31" w:rsidRPr="00BB2632" w:rsidRDefault="008F7D31" w:rsidP="008F7D31">
      <w:pPr>
        <w:spacing w:line="360" w:lineRule="auto"/>
        <w:jc w:val="both"/>
        <w:rPr>
          <w:rFonts w:ascii="Arial" w:hAnsi="Arial" w:cs="Arial"/>
          <w:b/>
          <w:bCs/>
          <w:sz w:val="24"/>
          <w:szCs w:val="24"/>
        </w:rPr>
      </w:pPr>
      <w:r w:rsidRPr="00BB2632">
        <w:rPr>
          <w:rFonts w:ascii="Arial" w:hAnsi="Arial" w:cs="Arial"/>
          <w:b/>
          <w:bCs/>
          <w:sz w:val="24"/>
          <w:szCs w:val="24"/>
        </w:rPr>
        <w:t>C</w:t>
      </w:r>
      <w:r w:rsidR="00362311" w:rsidRPr="00BB2632">
        <w:rPr>
          <w:rFonts w:ascii="Arial" w:hAnsi="Arial" w:cs="Arial"/>
          <w:b/>
          <w:bCs/>
          <w:sz w:val="24"/>
          <w:szCs w:val="24"/>
        </w:rPr>
        <w:t>onsiderações finais</w:t>
      </w:r>
    </w:p>
    <w:p w14:paraId="74B0D331" w14:textId="77777777" w:rsidR="008F7D31" w:rsidRPr="00891274" w:rsidRDefault="008F7D31" w:rsidP="008F7D31">
      <w:pPr>
        <w:pStyle w:val="Textodecomentrio"/>
        <w:spacing w:after="0"/>
        <w:ind w:firstLine="709"/>
        <w:jc w:val="both"/>
        <w:rPr>
          <w:rFonts w:ascii="Arial" w:hAnsi="Arial" w:cs="Arial"/>
          <w:sz w:val="24"/>
          <w:szCs w:val="24"/>
        </w:rPr>
      </w:pPr>
      <w:r w:rsidRPr="00891274">
        <w:rPr>
          <w:rFonts w:ascii="Arial" w:eastAsia="Times New Roman" w:hAnsi="Arial" w:cs="Arial"/>
          <w:sz w:val="24"/>
          <w:szCs w:val="24"/>
          <w:lang w:eastAsia="pt-BR"/>
        </w:rPr>
        <w:t xml:space="preserve">O presente estudo demonstrou que a monitoração eletrônica, ao se consolidar como medida alternativa </w:t>
      </w:r>
      <w:r w:rsidRPr="00891274">
        <w:rPr>
          <w:rFonts w:ascii="Arial" w:hAnsi="Arial" w:cs="Arial"/>
          <w:sz w:val="24"/>
          <w:szCs w:val="24"/>
        </w:rPr>
        <w:t>ao regime semiaberto pela ausência de estrutura física, além de formato de alternativa penal aos regimes de cumprimento de penas r</w:t>
      </w:r>
      <w:r w:rsidRPr="00891274">
        <w:rPr>
          <w:rFonts w:ascii="Arial" w:eastAsia="Times New Roman" w:hAnsi="Arial" w:cs="Arial"/>
          <w:sz w:val="24"/>
          <w:szCs w:val="24"/>
          <w:lang w:eastAsia="pt-BR"/>
        </w:rPr>
        <w:t>epresenta um marco relevante no esforço de enfrentamento à crise estrutural do sistema penitenciário brasileiro, particularmente no estado do Amazonas. A pesquisa revelou que, embora o uso dessa tecnologia tenha possibilitado avanços significativos como a diminuição da população carcerária e a promoção de condições mais dignas de cumprimento de pena, sua aplicação ainda se depara com entraves que comprometem sua eficácia.</w:t>
      </w:r>
    </w:p>
    <w:p w14:paraId="3EA2E4EE"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Dentre os principais obstáculos identificados, destacam-se as limitações estruturais, técnicas e institucionais que inviabilizam a plena operacionalização do sistema. A precariedade na infraestrutura tecnológica, especialmente no que se refere à manutenção, reposição e modernização dos equipamentos, compromete a continuidade das ações de monitoramento. Somam-se a isso as fragilidades na articulação entre os diferentes atores institucionais envolvidos, como o Judiciário, a administração penitenciária e as forças de segurança pública, cuja integração é indispensável para a efetividade da medida.</w:t>
      </w:r>
    </w:p>
    <w:p w14:paraId="0A35481E"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A pesquisa também revelou a urgência de investimentos na formação e capacitação contínua dos profissionais responsáveis pela gestão e acompanhamento dos monitorados. O domínio técnico-operacional do sistema, aliado ao conhecimento das especificidades jurídicas e sociais da monitoração eletrônica, é essencial para a proteção dos direitos fundamentais das pessoas submetidas a essa modalidade de controle penal.</w:t>
      </w:r>
    </w:p>
    <w:p w14:paraId="391C6F94"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Além disso, ressalta-se a necessidade de que as políticas públicas voltadas à expansão da monitoração eletrônica considerem as singularidades do contexto amazonense, marcado por desafios demográficos, socioeconômicos e geográficos próprios. A adequação dessas políticas à realidade local é condição imprescindível para que se possa alcançar os objetivos de ressocialização e prevenção propostos pela medida.</w:t>
      </w:r>
    </w:p>
    <w:p w14:paraId="12F161F3"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Nesse sentido, recomenda-se que a monitoração eletrônica seja acompanhada por programas de apoio psicossocial, educacional e profissionalizante, de forma a não reduzir o monitoramento à mera vigilância, mas inseri-lo em uma estratégia mais ampla de reintegração social. Também se indica a ampliação do controle externo da atividade de monitoração, com maior participação de defensorias públicas, conselhos da comunidade e órgãos de direitos humanos, garantindo a fiscalização do respeito às garantias constitucionais dos monitorados.</w:t>
      </w:r>
    </w:p>
    <w:p w14:paraId="5147714E" w14:textId="77777777" w:rsidR="008F7D31" w:rsidRPr="00891274"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No campo da tecnologia, é fundamental fomentar parcerias com universidades e centros de inovação para o desenvolvimento de soluções mais eficientes e adaptáveis às condições regionais, com atenção especial à cobertura de internet, à autonomia dos dispositivos e à proteção de dados sensíveis.</w:t>
      </w:r>
    </w:p>
    <w:p w14:paraId="3CD2A8DC" w14:textId="77777777" w:rsidR="008F7D31" w:rsidRPr="007A7857" w:rsidRDefault="008F7D31" w:rsidP="008F7D31">
      <w:pPr>
        <w:spacing w:after="0" w:line="240" w:lineRule="auto"/>
        <w:ind w:firstLine="708"/>
        <w:jc w:val="both"/>
        <w:rPr>
          <w:rFonts w:ascii="Arial" w:eastAsia="Times New Roman" w:hAnsi="Arial" w:cs="Arial"/>
          <w:sz w:val="24"/>
          <w:szCs w:val="24"/>
          <w:lang w:eastAsia="pt-BR"/>
        </w:rPr>
      </w:pPr>
      <w:r w:rsidRPr="00891274">
        <w:rPr>
          <w:rFonts w:ascii="Arial" w:eastAsia="Times New Roman" w:hAnsi="Arial" w:cs="Arial"/>
          <w:sz w:val="24"/>
          <w:szCs w:val="24"/>
          <w:lang w:eastAsia="pt-BR"/>
        </w:rPr>
        <w:t>A monitoração eletrônica, portanto, não deve ser compreendida apenas como solução técnica à superlotação prisional, mas como parte de uma política penal mais ampla, voltada à efetivação de direitos e à humanização das sanções</w:t>
      </w:r>
      <w:r w:rsidRPr="007A7857">
        <w:rPr>
          <w:rFonts w:ascii="Arial" w:eastAsia="Times New Roman" w:hAnsi="Arial" w:cs="Arial"/>
          <w:sz w:val="24"/>
          <w:szCs w:val="24"/>
          <w:lang w:eastAsia="pt-BR"/>
        </w:rPr>
        <w:t>. Para tanto, é fundamental que os avanços normativos sejam acompanhados de ações concretas que garantam a operacionalidade do sistema e promovam o respeito à dignidade das pessoas monitoradas, conforme os preceitos constitucionais e os desafios contemporâneos da execução penal no Brasil e, em especial, no Amazonas.</w:t>
      </w:r>
    </w:p>
    <w:p w14:paraId="36643681" w14:textId="77777777" w:rsidR="008F7D31" w:rsidRDefault="008F7D31" w:rsidP="00362311">
      <w:pPr>
        <w:spacing w:after="0" w:line="240" w:lineRule="auto"/>
        <w:jc w:val="both"/>
        <w:rPr>
          <w:rFonts w:ascii="Arial" w:hAnsi="Arial" w:cs="Arial"/>
          <w:b/>
          <w:bCs/>
        </w:rPr>
      </w:pPr>
    </w:p>
    <w:p w14:paraId="4CD64768" w14:textId="672FF8AF" w:rsidR="008F7D31" w:rsidRDefault="008F7D31" w:rsidP="00362311">
      <w:pPr>
        <w:spacing w:after="0" w:line="240" w:lineRule="auto"/>
        <w:jc w:val="both"/>
        <w:rPr>
          <w:rFonts w:ascii="Arial" w:hAnsi="Arial" w:cs="Arial"/>
          <w:sz w:val="24"/>
          <w:szCs w:val="24"/>
        </w:rPr>
      </w:pPr>
      <w:r w:rsidRPr="00840EE7">
        <w:rPr>
          <w:rFonts w:ascii="Arial" w:hAnsi="Arial" w:cs="Arial"/>
          <w:b/>
          <w:bCs/>
          <w:sz w:val="24"/>
          <w:szCs w:val="24"/>
        </w:rPr>
        <w:t>Referências</w:t>
      </w:r>
      <w:r>
        <w:rPr>
          <w:rFonts w:ascii="Arial" w:hAnsi="Arial" w:cs="Arial"/>
          <w:sz w:val="24"/>
          <w:szCs w:val="24"/>
        </w:rPr>
        <w:t>:</w:t>
      </w:r>
    </w:p>
    <w:p w14:paraId="537E4064" w14:textId="77777777" w:rsidR="008F7D31" w:rsidRPr="00840EE7" w:rsidRDefault="008F7D31" w:rsidP="00362311">
      <w:pPr>
        <w:spacing w:after="0" w:line="240" w:lineRule="auto"/>
        <w:jc w:val="both"/>
        <w:rPr>
          <w:rFonts w:ascii="Arial" w:hAnsi="Arial" w:cs="Arial"/>
          <w:sz w:val="24"/>
          <w:szCs w:val="24"/>
        </w:rPr>
      </w:pPr>
    </w:p>
    <w:p w14:paraId="2D790D7A" w14:textId="77777777" w:rsidR="008F7D31" w:rsidRPr="00BB2632" w:rsidRDefault="008F7D31" w:rsidP="008F7D31">
      <w:pPr>
        <w:jc w:val="both"/>
        <w:rPr>
          <w:rFonts w:ascii="Arial" w:hAnsi="Arial" w:cs="Arial"/>
        </w:rPr>
      </w:pPr>
      <w:r w:rsidRPr="00BB2632">
        <w:rPr>
          <w:rFonts w:ascii="Arial" w:hAnsi="Arial" w:cs="Arial"/>
        </w:rPr>
        <w:t>ALZUBAIDI, K.; ANGAWI, M</w:t>
      </w:r>
      <w:r w:rsidRPr="00BB2632">
        <w:rPr>
          <w:rFonts w:ascii="Arial" w:hAnsi="Arial" w:cs="Arial"/>
          <w:b/>
          <w:bCs/>
        </w:rPr>
        <w:t xml:space="preserve">. Monitoramento eletrônico como alternativa às penas de custódia. </w:t>
      </w:r>
      <w:r w:rsidRPr="00BB2632">
        <w:rPr>
          <w:rFonts w:ascii="Arial" w:hAnsi="Arial" w:cs="Arial"/>
          <w:lang w:val="fr-FR"/>
        </w:rPr>
        <w:t xml:space="preserve">In: Electronic Monitoring in the Global South: Comparative Perspectives. Springer International Publishing, 2023. p. 332–338. </w:t>
      </w:r>
      <w:r w:rsidRPr="00BB2632">
        <w:rPr>
          <w:rFonts w:ascii="Arial" w:hAnsi="Arial" w:cs="Arial"/>
        </w:rPr>
        <w:t>Disponível em: </w:t>
      </w:r>
      <w:hyperlink r:id="rId22" w:tgtFrame="_blank" w:history="1">
        <w:r w:rsidRPr="00BB2632">
          <w:rPr>
            <w:rStyle w:val="Hyperlink"/>
            <w:rFonts w:ascii="Arial" w:hAnsi="Arial" w:cs="Arial"/>
            <w:color w:val="auto"/>
            <w:u w:val="none"/>
          </w:rPr>
          <w:t>https://doi.org/10.1007/978-3-031-39158-3_31</w:t>
        </w:r>
      </w:hyperlink>
      <w:r w:rsidRPr="00BB2632">
        <w:rPr>
          <w:rFonts w:ascii="Arial" w:hAnsi="Arial" w:cs="Arial"/>
        </w:rPr>
        <w:t>. Acesso em: 06 jun. 2025.</w:t>
      </w:r>
    </w:p>
    <w:p w14:paraId="1806D04C" w14:textId="77777777" w:rsidR="008F7D31" w:rsidRPr="00BB2632" w:rsidRDefault="008F7D31" w:rsidP="008F7D31">
      <w:pPr>
        <w:jc w:val="both"/>
        <w:rPr>
          <w:rFonts w:ascii="Arial" w:hAnsi="Arial" w:cs="Arial"/>
        </w:rPr>
      </w:pPr>
      <w:r w:rsidRPr="00BB2632">
        <w:rPr>
          <w:rFonts w:ascii="Arial" w:hAnsi="Arial" w:cs="Arial"/>
        </w:rPr>
        <w:t xml:space="preserve">BRASIL. </w:t>
      </w:r>
      <w:r w:rsidRPr="00BB2632">
        <w:rPr>
          <w:rFonts w:ascii="Arial" w:hAnsi="Arial" w:cs="Arial"/>
          <w:b/>
          <w:bCs/>
        </w:rPr>
        <w:t>Código de Processo Penal</w:t>
      </w:r>
      <w:r w:rsidRPr="00BB2632">
        <w:rPr>
          <w:rFonts w:ascii="Arial" w:hAnsi="Arial" w:cs="Arial"/>
        </w:rPr>
        <w:t>. Decreto-Lei nº 3.689, de 3 de outubro de 1941. Diário Oficial da União, Brasília, DF, 3 out. 1941. Disponível em: </w:t>
      </w:r>
      <w:hyperlink r:id="rId23" w:tgtFrame="_blank" w:history="1">
        <w:r w:rsidRPr="00BB2632">
          <w:rPr>
            <w:rStyle w:val="Hyperlink"/>
            <w:rFonts w:ascii="Arial" w:hAnsi="Arial" w:cs="Arial"/>
            <w:color w:val="auto"/>
            <w:u w:val="none"/>
          </w:rPr>
          <w:t>http://www.planalto.gov.br/ccivil_03/decreto-lei/del3689.htm</w:t>
        </w:r>
      </w:hyperlink>
      <w:r w:rsidRPr="00BB2632">
        <w:rPr>
          <w:rFonts w:ascii="Arial" w:hAnsi="Arial" w:cs="Arial"/>
        </w:rPr>
        <w:t>. Acesso em: 14 jun. 2025.</w:t>
      </w:r>
    </w:p>
    <w:p w14:paraId="5871B851" w14:textId="77777777" w:rsidR="008F7D31" w:rsidRPr="00BB2632" w:rsidRDefault="008F7D31" w:rsidP="008F7D31">
      <w:pPr>
        <w:jc w:val="both"/>
        <w:rPr>
          <w:rFonts w:ascii="Arial" w:hAnsi="Arial" w:cs="Arial"/>
        </w:rPr>
      </w:pPr>
      <w:r w:rsidRPr="00BB2632">
        <w:rPr>
          <w:rFonts w:ascii="Arial" w:hAnsi="Arial" w:cs="Arial"/>
        </w:rPr>
        <w:t xml:space="preserve">BRASIL. </w:t>
      </w:r>
      <w:r w:rsidRPr="00BB2632">
        <w:rPr>
          <w:rFonts w:ascii="Arial" w:hAnsi="Arial" w:cs="Arial"/>
          <w:b/>
          <w:bCs/>
        </w:rPr>
        <w:t>Lei nº 11.340, de 7 de agosto de 2006</w:t>
      </w:r>
      <w:r w:rsidRPr="00BB2632">
        <w:rPr>
          <w:rFonts w:ascii="Arial" w:hAnsi="Arial" w:cs="Arial"/>
        </w:rPr>
        <w:t>. Cria mecanismos para coibir a violência doméstica e familiar contra a mulher. Diário Oficial da União, Brasília, DF, 8 ago. 2006. Disponível em: </w:t>
      </w:r>
      <w:hyperlink r:id="rId24" w:tgtFrame="_blank" w:history="1">
        <w:r w:rsidRPr="00BB2632">
          <w:rPr>
            <w:rStyle w:val="Hyperlink"/>
            <w:rFonts w:ascii="Arial" w:hAnsi="Arial" w:cs="Arial"/>
            <w:color w:val="auto"/>
            <w:u w:val="none"/>
          </w:rPr>
          <w:t>http://www.planalto.gov.br/ccivil_03/_ato2004-2006/2006/lei/l11340.htm</w:t>
        </w:r>
      </w:hyperlink>
      <w:r w:rsidRPr="00BB2632">
        <w:rPr>
          <w:rFonts w:ascii="Arial" w:hAnsi="Arial" w:cs="Arial"/>
        </w:rPr>
        <w:t>. Acesso em: 14 jun. 2025.</w:t>
      </w:r>
    </w:p>
    <w:p w14:paraId="1DB8EAEC" w14:textId="77777777" w:rsidR="008F7D31" w:rsidRPr="00BB2632" w:rsidRDefault="008F7D31" w:rsidP="008F7D31">
      <w:pPr>
        <w:jc w:val="both"/>
        <w:rPr>
          <w:rFonts w:ascii="Arial" w:hAnsi="Arial" w:cs="Arial"/>
        </w:rPr>
      </w:pPr>
      <w:r w:rsidRPr="00BB2632">
        <w:rPr>
          <w:rFonts w:ascii="Arial" w:hAnsi="Arial" w:cs="Arial"/>
        </w:rPr>
        <w:t xml:space="preserve">BRASIL. </w:t>
      </w:r>
      <w:r w:rsidRPr="00BB2632">
        <w:rPr>
          <w:rFonts w:ascii="Arial" w:hAnsi="Arial" w:cs="Arial"/>
          <w:b/>
          <w:bCs/>
        </w:rPr>
        <w:t>Lei nº 12.258, de 24 de junho de 2010</w:t>
      </w:r>
      <w:r w:rsidRPr="00BB2632">
        <w:rPr>
          <w:rFonts w:ascii="Arial" w:hAnsi="Arial" w:cs="Arial"/>
        </w:rPr>
        <w:t>. Altera o Código Penal, aprovado pelo Decreto-Lei nº 2.848, de 7 de dezembro de 1940, e a Lei de Execução Penal, nº 7.210, de 11 de julho de 1984. Diário Oficial da União: seção 1, Brasília, DF, 25 jun. 2010. Disponível em: </w:t>
      </w:r>
      <w:hyperlink r:id="rId25" w:tgtFrame="_blank" w:history="1">
        <w:r w:rsidRPr="00BB2632">
          <w:rPr>
            <w:rStyle w:val="Hyperlink"/>
            <w:rFonts w:ascii="Arial" w:hAnsi="Arial" w:cs="Arial"/>
            <w:color w:val="auto"/>
            <w:u w:val="none"/>
          </w:rPr>
          <w:t>http://www.planalto.gov.br/ccivil_03/_ato2007-2010/2010/lei/l12258.htm</w:t>
        </w:r>
      </w:hyperlink>
      <w:r w:rsidRPr="00BB2632">
        <w:rPr>
          <w:rFonts w:ascii="Arial" w:hAnsi="Arial" w:cs="Arial"/>
        </w:rPr>
        <w:t>. Acesso em: 29 jun. 2025.</w:t>
      </w:r>
    </w:p>
    <w:p w14:paraId="5A191E00" w14:textId="77777777" w:rsidR="008F7D31" w:rsidRPr="00BB2632" w:rsidRDefault="008F7D31" w:rsidP="008F7D31">
      <w:pPr>
        <w:jc w:val="both"/>
        <w:rPr>
          <w:rFonts w:ascii="Arial" w:hAnsi="Arial" w:cs="Arial"/>
        </w:rPr>
      </w:pPr>
      <w:r w:rsidRPr="00BB2632">
        <w:rPr>
          <w:rFonts w:ascii="Arial" w:hAnsi="Arial" w:cs="Arial"/>
        </w:rPr>
        <w:t xml:space="preserve">BRASIL. </w:t>
      </w:r>
      <w:r w:rsidRPr="00BB2632">
        <w:rPr>
          <w:rFonts w:ascii="Arial" w:hAnsi="Arial" w:cs="Arial"/>
          <w:b/>
          <w:bCs/>
        </w:rPr>
        <w:t>Lei nº 15.125, de 2025</w:t>
      </w:r>
      <w:r w:rsidRPr="00BB2632">
        <w:rPr>
          <w:rFonts w:ascii="Arial" w:hAnsi="Arial" w:cs="Arial"/>
        </w:rPr>
        <w:t>. Altera a Lei nº 11.340, de 7 de agosto de 2006, para dispor sobre o monitoramento eletrônico de agressores de mulheres. Diário Oficial da União, Brasília, DF, 2025. (Texto disponível mediante consulta oficial).</w:t>
      </w:r>
    </w:p>
    <w:p w14:paraId="10A0BDAB" w14:textId="77777777" w:rsidR="008F7D31" w:rsidRPr="00BB2632" w:rsidRDefault="008F7D31" w:rsidP="008F7D31">
      <w:pPr>
        <w:jc w:val="both"/>
        <w:rPr>
          <w:rFonts w:ascii="Arial" w:hAnsi="Arial" w:cs="Arial"/>
        </w:rPr>
      </w:pPr>
      <w:r w:rsidRPr="00BB2632">
        <w:rPr>
          <w:rFonts w:ascii="Arial" w:hAnsi="Arial" w:cs="Arial"/>
        </w:rPr>
        <w:t xml:space="preserve">BRASIL. Ministério da Justiça e Segurança Pública. Secretaria Nacional de Políticas Penais. </w:t>
      </w:r>
      <w:r w:rsidRPr="00BB2632">
        <w:rPr>
          <w:rFonts w:ascii="Arial" w:hAnsi="Arial" w:cs="Arial"/>
          <w:b/>
          <w:bCs/>
        </w:rPr>
        <w:t>Relatório de Informações Penitenciárias – 2º semestre de 2024</w:t>
      </w:r>
      <w:r w:rsidRPr="00BB2632">
        <w:rPr>
          <w:rFonts w:ascii="Arial" w:hAnsi="Arial" w:cs="Arial"/>
        </w:rPr>
        <w:t xml:space="preserve">. Brasília: SENAPPEN, 2025. Disponível em: </w:t>
      </w:r>
      <w:hyperlink r:id="rId26" w:tgtFrame="_new" w:history="1">
        <w:r w:rsidRPr="00BB2632">
          <w:rPr>
            <w:rStyle w:val="Hyperlink"/>
            <w:rFonts w:ascii="Arial" w:hAnsi="Arial" w:cs="Arial"/>
            <w:color w:val="000000" w:themeColor="text1"/>
            <w:u w:val="none"/>
          </w:rPr>
          <w:t>https://www.gov.br/senappen/pt-br/servicos/sisdepen/relatorios/relipen/relipen-2o-semestre-de-2024.pdf</w:t>
        </w:r>
      </w:hyperlink>
      <w:r w:rsidRPr="00BB2632">
        <w:rPr>
          <w:rFonts w:ascii="Arial" w:hAnsi="Arial" w:cs="Arial"/>
          <w:color w:val="000000" w:themeColor="text1"/>
        </w:rPr>
        <w:t>. Ace</w:t>
      </w:r>
      <w:r w:rsidRPr="00BB2632">
        <w:rPr>
          <w:rFonts w:ascii="Arial" w:hAnsi="Arial" w:cs="Arial"/>
        </w:rPr>
        <w:t>sso em: 15 jun. 2025.</w:t>
      </w:r>
    </w:p>
    <w:p w14:paraId="01991088" w14:textId="77777777" w:rsidR="008F7D31" w:rsidRPr="00BB2632" w:rsidRDefault="008F7D31" w:rsidP="008F7D31">
      <w:pPr>
        <w:jc w:val="both"/>
        <w:rPr>
          <w:rFonts w:ascii="Arial" w:hAnsi="Arial" w:cs="Arial"/>
        </w:rPr>
      </w:pPr>
      <w:r w:rsidRPr="00BB2632">
        <w:rPr>
          <w:rFonts w:ascii="Arial" w:hAnsi="Arial" w:cs="Arial"/>
        </w:rPr>
        <w:t xml:space="preserve">CAMPELLO, R. U. </w:t>
      </w:r>
      <w:r w:rsidRPr="00BB2632">
        <w:rPr>
          <w:rFonts w:ascii="Arial" w:hAnsi="Arial" w:cs="Arial"/>
          <w:b/>
          <w:bCs/>
        </w:rPr>
        <w:t>A implementação do monitoramento eletrônico no Brasil</w:t>
      </w:r>
      <w:r w:rsidRPr="00BB2632">
        <w:rPr>
          <w:rFonts w:ascii="Arial" w:hAnsi="Arial" w:cs="Arial"/>
        </w:rPr>
        <w:t>. São Paulo: Instituto Terra, Trabalho e Cidadania, 2015. Parecer elaborado no âmbito do Programa Justiça Sem Muros.</w:t>
      </w:r>
    </w:p>
    <w:p w14:paraId="681BE8DA" w14:textId="77777777" w:rsidR="008F7D31" w:rsidRPr="00BB2632" w:rsidRDefault="008F7D31" w:rsidP="008F7D31">
      <w:pPr>
        <w:jc w:val="both"/>
        <w:rPr>
          <w:rFonts w:ascii="Arial" w:hAnsi="Arial" w:cs="Arial"/>
        </w:rPr>
      </w:pPr>
      <w:r w:rsidRPr="00BB2632">
        <w:rPr>
          <w:rFonts w:ascii="Arial" w:hAnsi="Arial" w:cs="Arial"/>
        </w:rPr>
        <w:t xml:space="preserve">CAMPELLO, R. U. </w:t>
      </w:r>
      <w:r w:rsidRPr="00BB2632">
        <w:rPr>
          <w:rFonts w:ascii="Arial" w:hAnsi="Arial" w:cs="Arial"/>
          <w:b/>
          <w:bCs/>
        </w:rPr>
        <w:t xml:space="preserve">Faces e interfaces de um dispositivo </w:t>
      </w:r>
      <w:proofErr w:type="spellStart"/>
      <w:r w:rsidRPr="00BB2632">
        <w:rPr>
          <w:rFonts w:ascii="Arial" w:hAnsi="Arial" w:cs="Arial"/>
          <w:b/>
          <w:bCs/>
        </w:rPr>
        <w:t>tecnopenal</w:t>
      </w:r>
      <w:proofErr w:type="spellEnd"/>
      <w:r w:rsidRPr="00BB2632">
        <w:rPr>
          <w:rFonts w:ascii="Arial" w:hAnsi="Arial" w:cs="Arial"/>
          <w:b/>
          <w:bCs/>
        </w:rPr>
        <w:t xml:space="preserve">: </w:t>
      </w:r>
      <w:r w:rsidRPr="00BB2632">
        <w:rPr>
          <w:rFonts w:ascii="Arial" w:hAnsi="Arial" w:cs="Arial"/>
        </w:rPr>
        <w:t>o monitoramento eletrônico de presos e presas no Brasil. 2019. Tese (Doutorado) – Universidade de São Paulo, São Paulo. Disponível em: </w:t>
      </w:r>
      <w:hyperlink r:id="rId27" w:tgtFrame="_blank" w:history="1">
        <w:r w:rsidRPr="00BB2632">
          <w:rPr>
            <w:rStyle w:val="Hyperlink"/>
            <w:rFonts w:ascii="Arial" w:hAnsi="Arial" w:cs="Arial"/>
            <w:color w:val="auto"/>
            <w:u w:val="none"/>
          </w:rPr>
          <w:t>https://www.teses.usp.br/teses/disponiveis/8/8132/tde-16122019-185040/publico/2019_RicardoUrquizasCampello_VCorr.pdf</w:t>
        </w:r>
      </w:hyperlink>
      <w:r w:rsidRPr="00BB2632">
        <w:rPr>
          <w:rFonts w:ascii="Arial" w:hAnsi="Arial" w:cs="Arial"/>
        </w:rPr>
        <w:t>. Acesso em: 09 jun. 2025.</w:t>
      </w:r>
    </w:p>
    <w:p w14:paraId="11C0DCEC" w14:textId="77777777" w:rsidR="008F7D31" w:rsidRPr="00BB2632" w:rsidRDefault="008F7D31" w:rsidP="008F7D31">
      <w:pPr>
        <w:jc w:val="both"/>
        <w:rPr>
          <w:rFonts w:ascii="Arial" w:hAnsi="Arial" w:cs="Arial"/>
        </w:rPr>
      </w:pPr>
      <w:r w:rsidRPr="00BB2632">
        <w:rPr>
          <w:rFonts w:ascii="Arial" w:hAnsi="Arial" w:cs="Arial"/>
        </w:rPr>
        <w:t xml:space="preserve">CAMPELLO, R. U. </w:t>
      </w:r>
      <w:r w:rsidRPr="00BB2632">
        <w:rPr>
          <w:rFonts w:ascii="Arial" w:hAnsi="Arial" w:cs="Arial"/>
          <w:b/>
          <w:bCs/>
        </w:rPr>
        <w:t>O carcereiro de si mesmo.</w:t>
      </w:r>
      <w:r w:rsidRPr="00BB2632">
        <w:rPr>
          <w:rFonts w:ascii="Arial" w:hAnsi="Arial" w:cs="Arial"/>
        </w:rPr>
        <w:t xml:space="preserve"> Tempo Social, v. 31, n. 3, p. 81–97, set. 2019. Disponível em: </w:t>
      </w:r>
      <w:hyperlink r:id="rId28" w:tgtFrame="_blank" w:history="1">
        <w:r w:rsidRPr="00BB2632">
          <w:rPr>
            <w:rStyle w:val="Hyperlink"/>
            <w:rFonts w:ascii="Arial" w:hAnsi="Arial" w:cs="Arial"/>
            <w:color w:val="auto"/>
            <w:u w:val="none"/>
          </w:rPr>
          <w:t>https://www.scielo.br/j/ts/a/7BwG3knGMGFZMbqCRFVGkfH/?lang=pt</w:t>
        </w:r>
      </w:hyperlink>
      <w:r w:rsidRPr="00BB2632">
        <w:rPr>
          <w:rFonts w:ascii="Arial" w:hAnsi="Arial" w:cs="Arial"/>
        </w:rPr>
        <w:t>. Acesso em: 08 jun. 2025.</w:t>
      </w:r>
    </w:p>
    <w:p w14:paraId="2EE813FD" w14:textId="77777777" w:rsidR="008F7D31" w:rsidRPr="00BB2632" w:rsidRDefault="008F7D31" w:rsidP="008F7D31">
      <w:pPr>
        <w:jc w:val="both"/>
        <w:rPr>
          <w:rFonts w:ascii="Arial" w:hAnsi="Arial" w:cs="Arial"/>
        </w:rPr>
      </w:pPr>
      <w:r w:rsidRPr="00BB2632">
        <w:rPr>
          <w:rFonts w:ascii="Arial" w:hAnsi="Arial" w:cs="Arial"/>
        </w:rPr>
        <w:t xml:space="preserve">CENTRO DE OPERAÇÕES E CONTROLE – COC/SEAP (AM). </w:t>
      </w:r>
      <w:r w:rsidRPr="00BB2632">
        <w:rPr>
          <w:rFonts w:ascii="Arial" w:hAnsi="Arial" w:cs="Arial"/>
          <w:b/>
          <w:bCs/>
        </w:rPr>
        <w:t>Relatório de atividades de monitoramento eletrônico</w:t>
      </w:r>
      <w:r w:rsidRPr="00BB2632">
        <w:rPr>
          <w:rFonts w:ascii="Arial" w:hAnsi="Arial" w:cs="Arial"/>
        </w:rPr>
        <w:t xml:space="preserve"> – dados de 2024. Manaus: Secretaria de Estado de Administração Penitenciária, 2024. [documento interno].</w:t>
      </w:r>
    </w:p>
    <w:p w14:paraId="1853AAFA" w14:textId="77777777" w:rsidR="008F7D31" w:rsidRPr="00BB2632" w:rsidRDefault="008F7D31" w:rsidP="008F7D31">
      <w:pPr>
        <w:jc w:val="both"/>
        <w:rPr>
          <w:rFonts w:ascii="Arial" w:hAnsi="Arial" w:cs="Arial"/>
        </w:rPr>
      </w:pPr>
      <w:r w:rsidRPr="00BB2632">
        <w:rPr>
          <w:rFonts w:ascii="Arial" w:hAnsi="Arial" w:cs="Arial"/>
        </w:rPr>
        <w:t xml:space="preserve">CONSELHO NACIONAL DE JUSTIÇA (CNJ). </w:t>
      </w:r>
      <w:r w:rsidRPr="00BB2632">
        <w:rPr>
          <w:rFonts w:ascii="Arial" w:hAnsi="Arial" w:cs="Arial"/>
          <w:b/>
          <w:bCs/>
        </w:rPr>
        <w:t>Diagnóstico da política de monitoração eletrônica.</w:t>
      </w:r>
      <w:r w:rsidRPr="00BB2632">
        <w:rPr>
          <w:rFonts w:ascii="Arial" w:hAnsi="Arial" w:cs="Arial"/>
        </w:rPr>
        <w:t xml:space="preserve"> Disponível em: </w:t>
      </w:r>
      <w:hyperlink r:id="rId29" w:tgtFrame="_blank" w:history="1">
        <w:r w:rsidRPr="00BB2632">
          <w:rPr>
            <w:rStyle w:val="Hyperlink"/>
            <w:rFonts w:ascii="Arial" w:hAnsi="Arial" w:cs="Arial"/>
            <w:color w:val="auto"/>
            <w:u w:val="none"/>
          </w:rPr>
          <w:t>https://www.cnj.jus.br/wp-content/uploads/2021/11/diagnostico-politica-monitoracao-eletronica.pdf</w:t>
        </w:r>
      </w:hyperlink>
      <w:r w:rsidRPr="00BB2632">
        <w:rPr>
          <w:rFonts w:ascii="Arial" w:hAnsi="Arial" w:cs="Arial"/>
        </w:rPr>
        <w:t>. Acesso em: 14 jun. 2025.</w:t>
      </w:r>
    </w:p>
    <w:p w14:paraId="5CD2F908" w14:textId="77777777" w:rsidR="008F7D31" w:rsidRPr="00BB2632" w:rsidRDefault="008F7D31" w:rsidP="008F7D31">
      <w:pPr>
        <w:jc w:val="both"/>
        <w:rPr>
          <w:rFonts w:ascii="Arial" w:hAnsi="Arial" w:cs="Arial"/>
        </w:rPr>
      </w:pPr>
      <w:r w:rsidRPr="00BB2632">
        <w:rPr>
          <w:rFonts w:ascii="Arial" w:hAnsi="Arial" w:cs="Arial"/>
        </w:rPr>
        <w:t xml:space="preserve">CONSELHO NACIONAL DE JUSTIÇA (CNJ). </w:t>
      </w:r>
      <w:r w:rsidRPr="00BB2632">
        <w:rPr>
          <w:rFonts w:ascii="Arial" w:hAnsi="Arial" w:cs="Arial"/>
          <w:b/>
          <w:bCs/>
        </w:rPr>
        <w:t>Resolução CNJ nº 412, de 2021</w:t>
      </w:r>
      <w:r w:rsidRPr="00BB2632">
        <w:rPr>
          <w:rFonts w:ascii="Arial" w:hAnsi="Arial" w:cs="Arial"/>
        </w:rPr>
        <w:t xml:space="preserve">. Estabelece diretrizes e procedimentos para a aplicação e acompanhamento do monitoramento eletrônico no âmbito </w:t>
      </w:r>
      <w:proofErr w:type="spellStart"/>
      <w:r w:rsidRPr="00BB2632">
        <w:rPr>
          <w:rFonts w:ascii="Arial" w:hAnsi="Arial" w:cs="Arial"/>
        </w:rPr>
        <w:t>pré</w:t>
      </w:r>
      <w:proofErr w:type="spellEnd"/>
      <w:r w:rsidRPr="00BB2632">
        <w:rPr>
          <w:rFonts w:ascii="Arial" w:hAnsi="Arial" w:cs="Arial"/>
        </w:rPr>
        <w:t>-processual, processual e da execução penal. Diário Oficial da União, Brasília, DF, 2021. Disponível em: </w:t>
      </w:r>
      <w:hyperlink r:id="rId30" w:tgtFrame="_blank" w:history="1">
        <w:r w:rsidRPr="00BB2632">
          <w:rPr>
            <w:rStyle w:val="Hyperlink"/>
            <w:rFonts w:ascii="Arial" w:hAnsi="Arial" w:cs="Arial"/>
            <w:color w:val="auto"/>
            <w:u w:val="none"/>
          </w:rPr>
          <w:t>https://www.cnj.jus.br/wp-content/uploads/2021/04/Resolu%C3%A7%C3%A3o-CNJ-n%C2%BA-412-2021.pdf</w:t>
        </w:r>
      </w:hyperlink>
      <w:r w:rsidRPr="00BB2632">
        <w:rPr>
          <w:rFonts w:ascii="Arial" w:hAnsi="Arial" w:cs="Arial"/>
        </w:rPr>
        <w:t>. Acesso em: 14 jun. 2025.</w:t>
      </w:r>
    </w:p>
    <w:p w14:paraId="24A89B4C" w14:textId="77777777" w:rsidR="008F7D31" w:rsidRPr="00BB2632" w:rsidRDefault="008F7D31" w:rsidP="008F7D31">
      <w:pPr>
        <w:jc w:val="both"/>
        <w:rPr>
          <w:rFonts w:ascii="Arial" w:hAnsi="Arial" w:cs="Arial"/>
        </w:rPr>
      </w:pPr>
      <w:r w:rsidRPr="00BB2632">
        <w:rPr>
          <w:rFonts w:ascii="Arial" w:hAnsi="Arial" w:cs="Arial"/>
        </w:rPr>
        <w:t>CONSELHO NACIONAL DE JUSTIÇA (CNJ). STF analisa nesta quarta (16/10) plano para interromper violações de direitos humanos em presídios. Disponível em: </w:t>
      </w:r>
      <w:hyperlink r:id="rId31" w:tgtFrame="_blank" w:history="1">
        <w:r w:rsidRPr="00BB2632">
          <w:rPr>
            <w:rStyle w:val="Hyperlink"/>
            <w:rFonts w:ascii="Arial" w:hAnsi="Arial" w:cs="Arial"/>
            <w:color w:val="auto"/>
            <w:u w:val="none"/>
          </w:rPr>
          <w:t>https://www.cnj.jus.br/stf-analisa-nesta-quarta-16-10-plano-para-interromper-violacoes-de-direitos-humanos-em-presidios/</w:t>
        </w:r>
      </w:hyperlink>
      <w:r w:rsidRPr="00BB2632">
        <w:rPr>
          <w:rFonts w:ascii="Arial" w:hAnsi="Arial" w:cs="Arial"/>
        </w:rPr>
        <w:t>. Acesso em: 30 jun. 2025.</w:t>
      </w:r>
    </w:p>
    <w:p w14:paraId="735A81F5" w14:textId="77777777" w:rsidR="008F7D31" w:rsidRPr="00BB2632" w:rsidRDefault="008F7D31" w:rsidP="008F7D31">
      <w:pPr>
        <w:jc w:val="both"/>
        <w:rPr>
          <w:rFonts w:ascii="Arial" w:hAnsi="Arial" w:cs="Arial"/>
        </w:rPr>
      </w:pPr>
      <w:r w:rsidRPr="00BB2632">
        <w:rPr>
          <w:rFonts w:ascii="Arial" w:hAnsi="Arial" w:cs="Arial"/>
        </w:rPr>
        <w:t xml:space="preserve">ESTADO DO AMAZONAS. </w:t>
      </w:r>
      <w:r w:rsidRPr="00BB2632">
        <w:rPr>
          <w:rFonts w:ascii="Arial" w:hAnsi="Arial" w:cs="Arial"/>
          <w:b/>
          <w:bCs/>
        </w:rPr>
        <w:t>Lei nº 7.260, de 2024</w:t>
      </w:r>
      <w:r w:rsidRPr="00BB2632">
        <w:rPr>
          <w:rFonts w:ascii="Arial" w:hAnsi="Arial" w:cs="Arial"/>
        </w:rPr>
        <w:t xml:space="preserve">. Institui o monitoramento eletrônico de agressores em contexto de violência doméstica no Estado do Amazonas. Diário Oficial do Estado do Amazonas, Manaus, 2024. Disponível em: </w:t>
      </w:r>
      <w:hyperlink r:id="rId32" w:history="1">
        <w:r w:rsidRPr="00BB2632">
          <w:rPr>
            <w:rStyle w:val="Hyperlink"/>
            <w:rFonts w:ascii="Arial" w:hAnsi="Arial" w:cs="Arial"/>
            <w:color w:val="auto"/>
            <w:u w:val="none"/>
          </w:rPr>
          <w:t>https://legisla.imprensaoficial.am.gov.br/diario_am/12/2024/12/14728?q=monitoramento+eletronico+de+agressores</w:t>
        </w:r>
      </w:hyperlink>
      <w:r w:rsidRPr="00BB2632">
        <w:rPr>
          <w:rFonts w:ascii="Arial" w:hAnsi="Arial" w:cs="Arial"/>
        </w:rPr>
        <w:t>. Acesso em: 14 jun. 2025.</w:t>
      </w:r>
    </w:p>
    <w:p w14:paraId="72387B8D" w14:textId="77777777" w:rsidR="008F7D31" w:rsidRPr="00BB2632" w:rsidRDefault="008F7D31" w:rsidP="008F7D31">
      <w:pPr>
        <w:jc w:val="both"/>
        <w:rPr>
          <w:rFonts w:ascii="Arial" w:hAnsi="Arial" w:cs="Arial"/>
        </w:rPr>
      </w:pPr>
      <w:r w:rsidRPr="00BB2632">
        <w:rPr>
          <w:rFonts w:ascii="Arial" w:hAnsi="Arial" w:cs="Arial"/>
        </w:rPr>
        <w:t xml:space="preserve">ESTADO DO AMAZONAS. </w:t>
      </w:r>
      <w:r w:rsidRPr="00BB2632">
        <w:rPr>
          <w:rFonts w:ascii="Arial" w:hAnsi="Arial" w:cs="Arial"/>
          <w:b/>
          <w:bCs/>
        </w:rPr>
        <w:t>Projeto de Lei Ordinária nº 294, de 2019</w:t>
      </w:r>
      <w:r w:rsidRPr="00BB2632">
        <w:rPr>
          <w:rFonts w:ascii="Arial" w:hAnsi="Arial" w:cs="Arial"/>
        </w:rPr>
        <w:t>. Dispõe sobre o pagamento dos aparelhos de monitoramento eletrônico pelos presos ou apenados no Estado do Amazonas. Assembleia Legislativa do Estado do Amazonas, Manaus, 2019. (Projeto em tramitação).</w:t>
      </w:r>
    </w:p>
    <w:p w14:paraId="7BE8D19F" w14:textId="77777777" w:rsidR="008F7D31" w:rsidRPr="00BB2632" w:rsidRDefault="008F7D31" w:rsidP="008F7D31">
      <w:pPr>
        <w:jc w:val="both"/>
        <w:rPr>
          <w:rFonts w:ascii="Arial" w:hAnsi="Arial" w:cs="Arial"/>
        </w:rPr>
      </w:pPr>
      <w:r w:rsidRPr="00BB2632">
        <w:rPr>
          <w:rFonts w:ascii="Arial" w:hAnsi="Arial" w:cs="Arial"/>
        </w:rPr>
        <w:t xml:space="preserve">FOUCAULT, Michel. </w:t>
      </w:r>
      <w:r w:rsidRPr="00BB2632">
        <w:rPr>
          <w:rFonts w:ascii="Arial" w:hAnsi="Arial" w:cs="Arial"/>
          <w:b/>
          <w:bCs/>
        </w:rPr>
        <w:t xml:space="preserve">Vigiar e Punir: </w:t>
      </w:r>
      <w:r w:rsidRPr="00BB2632">
        <w:rPr>
          <w:rFonts w:ascii="Arial" w:hAnsi="Arial" w:cs="Arial"/>
        </w:rPr>
        <w:t>nascimento da prisão. Tradução de Raquel Ramalhete. 42. ed. Petrópolis: Vozes, 2014. Originalmente publicado em 1975.</w:t>
      </w:r>
    </w:p>
    <w:p w14:paraId="2DBEB547" w14:textId="77777777" w:rsidR="008F7D31" w:rsidRPr="00BB2632" w:rsidRDefault="008F7D31" w:rsidP="008F7D31">
      <w:pPr>
        <w:jc w:val="both"/>
        <w:rPr>
          <w:rFonts w:ascii="Arial" w:hAnsi="Arial" w:cs="Arial"/>
        </w:rPr>
      </w:pPr>
      <w:r w:rsidRPr="00BB2632">
        <w:rPr>
          <w:rFonts w:ascii="Arial" w:hAnsi="Arial" w:cs="Arial"/>
        </w:rPr>
        <w:t xml:space="preserve">GIL, A. C. </w:t>
      </w:r>
      <w:r w:rsidRPr="00BB2632">
        <w:rPr>
          <w:rFonts w:ascii="Arial" w:hAnsi="Arial" w:cs="Arial"/>
          <w:b/>
          <w:bCs/>
        </w:rPr>
        <w:t>Como elaborar projetos de pesquisa.</w:t>
      </w:r>
      <w:r w:rsidRPr="00BB2632">
        <w:rPr>
          <w:rFonts w:ascii="Arial" w:hAnsi="Arial" w:cs="Arial"/>
        </w:rPr>
        <w:t xml:space="preserve"> 5. ed. São Paulo: Atlas, 2010.</w:t>
      </w:r>
    </w:p>
    <w:p w14:paraId="083D29A8" w14:textId="77777777" w:rsidR="008F7D31" w:rsidRPr="00BB2632" w:rsidRDefault="008F7D31" w:rsidP="008F7D31">
      <w:pPr>
        <w:jc w:val="both"/>
        <w:rPr>
          <w:rFonts w:ascii="Arial" w:hAnsi="Arial" w:cs="Arial"/>
        </w:rPr>
      </w:pPr>
      <w:r w:rsidRPr="00BB2632">
        <w:rPr>
          <w:rFonts w:ascii="Arial" w:hAnsi="Arial" w:cs="Arial"/>
        </w:rPr>
        <w:t xml:space="preserve">LIMA, B. A. de; ALMEIDA, J. F. P. de; FAYET, P. </w:t>
      </w:r>
      <w:r w:rsidRPr="00BB2632">
        <w:rPr>
          <w:rFonts w:ascii="Arial" w:hAnsi="Arial" w:cs="Arial"/>
          <w:b/>
          <w:bCs/>
        </w:rPr>
        <w:t xml:space="preserve">Prisão sem grades: </w:t>
      </w:r>
      <w:r w:rsidRPr="00BB2632">
        <w:rPr>
          <w:rFonts w:ascii="Arial" w:hAnsi="Arial" w:cs="Arial"/>
        </w:rPr>
        <w:t xml:space="preserve">do monitoramento eletrônico de uma pessoa em situação de rua e a saúde mental do apenado. In: MARTINI, S. R.; STURZA, J. M.; FINCO, M. (org.). Direito à saúde: ponte para a cidadania. Porto Alegre: </w:t>
      </w:r>
      <w:proofErr w:type="spellStart"/>
      <w:r w:rsidRPr="00BB2632">
        <w:rPr>
          <w:rFonts w:ascii="Arial" w:hAnsi="Arial" w:cs="Arial"/>
        </w:rPr>
        <w:t>Evangraf</w:t>
      </w:r>
      <w:proofErr w:type="spellEnd"/>
      <w:r w:rsidRPr="00BB2632">
        <w:rPr>
          <w:rFonts w:ascii="Arial" w:hAnsi="Arial" w:cs="Arial"/>
        </w:rPr>
        <w:t>, 2019.</w:t>
      </w:r>
    </w:p>
    <w:p w14:paraId="2D73C2BC" w14:textId="77777777" w:rsidR="008F7D31" w:rsidRPr="00BB2632" w:rsidRDefault="008F7D31" w:rsidP="008F7D31">
      <w:pPr>
        <w:jc w:val="both"/>
        <w:rPr>
          <w:rFonts w:ascii="Arial" w:hAnsi="Arial" w:cs="Arial"/>
        </w:rPr>
      </w:pPr>
      <w:r w:rsidRPr="00BB2632">
        <w:rPr>
          <w:rFonts w:ascii="Arial" w:hAnsi="Arial" w:cs="Arial"/>
        </w:rPr>
        <w:t xml:space="preserve">MENDONÇA, Pedro Passini. </w:t>
      </w:r>
      <w:r w:rsidRPr="00BB2632">
        <w:rPr>
          <w:rFonts w:ascii="Arial" w:hAnsi="Arial" w:cs="Arial"/>
          <w:b/>
          <w:bCs/>
        </w:rPr>
        <w:t xml:space="preserve">Proteção dos direitos fundamentais através da monitoração eletrônica: </w:t>
      </w:r>
      <w:r w:rsidRPr="00BB2632">
        <w:rPr>
          <w:rFonts w:ascii="Arial" w:hAnsi="Arial" w:cs="Arial"/>
        </w:rPr>
        <w:t>um estudo sobre reincidência e reabilitação. Ciências Sociais Aplicadas, v. 28, n. 138, set. 2024. Disponível em: </w:t>
      </w:r>
      <w:hyperlink r:id="rId33" w:tgtFrame="_blank" w:history="1">
        <w:r w:rsidRPr="00BB2632">
          <w:rPr>
            <w:rStyle w:val="Hyperlink"/>
            <w:rFonts w:ascii="Arial" w:hAnsi="Arial" w:cs="Arial"/>
            <w:color w:val="auto"/>
            <w:u w:val="none"/>
          </w:rPr>
          <w:t>https://doi.org/10.69849/</w:t>
        </w:r>
        <w:proofErr w:type="spellStart"/>
        <w:r w:rsidRPr="00BB2632">
          <w:rPr>
            <w:rStyle w:val="Hyperlink"/>
            <w:rFonts w:ascii="Arial" w:hAnsi="Arial" w:cs="Arial"/>
            <w:color w:val="auto"/>
            <w:u w:val="none"/>
          </w:rPr>
          <w:t>revistaft</w:t>
        </w:r>
        <w:proofErr w:type="spellEnd"/>
        <w:r w:rsidRPr="00BB2632">
          <w:rPr>
            <w:rStyle w:val="Hyperlink"/>
            <w:rFonts w:ascii="Arial" w:hAnsi="Arial" w:cs="Arial"/>
            <w:color w:val="auto"/>
            <w:u w:val="none"/>
          </w:rPr>
          <w:t>/ni10202409081702</w:t>
        </w:r>
      </w:hyperlink>
      <w:r w:rsidRPr="00BB2632">
        <w:rPr>
          <w:rFonts w:ascii="Arial" w:hAnsi="Arial" w:cs="Arial"/>
        </w:rPr>
        <w:t>. Acesso em: 19 jun. 2025.</w:t>
      </w:r>
    </w:p>
    <w:p w14:paraId="4D0282AF" w14:textId="77777777" w:rsidR="008F7D31" w:rsidRPr="00BB2632" w:rsidRDefault="008F7D31" w:rsidP="008F7D31">
      <w:pPr>
        <w:jc w:val="both"/>
        <w:rPr>
          <w:rFonts w:ascii="Arial" w:hAnsi="Arial" w:cs="Arial"/>
        </w:rPr>
      </w:pPr>
      <w:r w:rsidRPr="00BB2632">
        <w:rPr>
          <w:rFonts w:ascii="Arial" w:hAnsi="Arial" w:cs="Arial"/>
        </w:rPr>
        <w:t xml:space="preserve">ORSINI, A. G. de S.; MONTEIRO, W. de F.; SILVA, H. C. de A. </w:t>
      </w:r>
      <w:r w:rsidRPr="00BB2632">
        <w:rPr>
          <w:rFonts w:ascii="Arial" w:hAnsi="Arial" w:cs="Arial"/>
          <w:b/>
          <w:bCs/>
        </w:rPr>
        <w:t>Acesso à justiça, inteligência artificial e tecnologias do processo judicial</w:t>
      </w:r>
      <w:r w:rsidRPr="00BB2632">
        <w:rPr>
          <w:rFonts w:ascii="Arial" w:hAnsi="Arial" w:cs="Arial"/>
        </w:rPr>
        <w:t>. In: II Congresso Internacional de Direito e Inteligência Artificial, 2022, Belo Horizonte. Anais [...]. Disponível em: </w:t>
      </w:r>
      <w:hyperlink r:id="rId34" w:tgtFrame="_blank" w:history="1">
        <w:r w:rsidRPr="00BB2632">
          <w:rPr>
            <w:rStyle w:val="Hyperlink"/>
            <w:rFonts w:ascii="Arial" w:hAnsi="Arial" w:cs="Arial"/>
            <w:color w:val="auto"/>
            <w:u w:val="none"/>
          </w:rPr>
          <w:t>https://site.conpedi.org.br/publicacoes/b3vv7r7g/9039026m/3iRa3dvB7JfRUCkg.pdf</w:t>
        </w:r>
      </w:hyperlink>
      <w:r w:rsidRPr="00BB2632">
        <w:rPr>
          <w:rFonts w:ascii="Arial" w:hAnsi="Arial" w:cs="Arial"/>
        </w:rPr>
        <w:t>. Acesso em: 30 mar. 2025.</w:t>
      </w:r>
    </w:p>
    <w:p w14:paraId="745C4BFD" w14:textId="77777777" w:rsidR="008F7D31" w:rsidRPr="00BB2632" w:rsidRDefault="008F7D31" w:rsidP="008F7D31">
      <w:pPr>
        <w:jc w:val="both"/>
        <w:rPr>
          <w:rFonts w:ascii="Arial" w:hAnsi="Arial" w:cs="Arial"/>
        </w:rPr>
      </w:pPr>
      <w:r w:rsidRPr="00BB2632">
        <w:rPr>
          <w:rFonts w:ascii="Arial" w:hAnsi="Arial" w:cs="Arial"/>
        </w:rPr>
        <w:t xml:space="preserve">PIMENTA, I. L. </w:t>
      </w:r>
      <w:r w:rsidRPr="00BB2632">
        <w:rPr>
          <w:rFonts w:ascii="Arial" w:hAnsi="Arial" w:cs="Arial"/>
          <w:b/>
          <w:bCs/>
        </w:rPr>
        <w:t xml:space="preserve">Manual de gestão para a política de monitoração eletrônica de pessoas. </w:t>
      </w:r>
      <w:r w:rsidRPr="00BB2632">
        <w:rPr>
          <w:rFonts w:ascii="Arial" w:hAnsi="Arial" w:cs="Arial"/>
        </w:rPr>
        <w:t>Brasília: DEPEN/PNUD, 2017.</w:t>
      </w:r>
    </w:p>
    <w:p w14:paraId="13DC0FA4" w14:textId="77777777" w:rsidR="008F7D31" w:rsidRPr="00BB2632" w:rsidRDefault="008F7D31" w:rsidP="008F7D31">
      <w:pPr>
        <w:jc w:val="both"/>
        <w:rPr>
          <w:rFonts w:ascii="Arial" w:hAnsi="Arial" w:cs="Arial"/>
        </w:rPr>
      </w:pPr>
      <w:r w:rsidRPr="00BB2632">
        <w:rPr>
          <w:rFonts w:ascii="Arial" w:hAnsi="Arial" w:cs="Arial"/>
        </w:rPr>
        <w:t xml:space="preserve">PIMENTA, I. L. </w:t>
      </w:r>
      <w:r w:rsidRPr="00BB2632">
        <w:rPr>
          <w:rFonts w:ascii="Arial" w:hAnsi="Arial" w:cs="Arial"/>
          <w:b/>
          <w:bCs/>
        </w:rPr>
        <w:t xml:space="preserve">Modelo de gestão para monitoração eletrônica de pessoas: </w:t>
      </w:r>
      <w:r w:rsidRPr="00BB2632">
        <w:rPr>
          <w:rFonts w:ascii="Arial" w:hAnsi="Arial" w:cs="Arial"/>
        </w:rPr>
        <w:t>informativo para o Sistema de Justiça. Brasília: Conselho Nacional de Justiça, 2020.</w:t>
      </w:r>
    </w:p>
    <w:p w14:paraId="7C50BB40" w14:textId="77777777" w:rsidR="008F7D31" w:rsidRPr="00BB2632" w:rsidRDefault="008F7D31" w:rsidP="008F7D31">
      <w:pPr>
        <w:jc w:val="both"/>
        <w:rPr>
          <w:rFonts w:ascii="Arial" w:hAnsi="Arial" w:cs="Arial"/>
        </w:rPr>
      </w:pPr>
      <w:r w:rsidRPr="00BB2632">
        <w:rPr>
          <w:rFonts w:ascii="Arial" w:hAnsi="Arial" w:cs="Arial"/>
        </w:rPr>
        <w:t xml:space="preserve">PIMENTA, </w:t>
      </w:r>
      <w:proofErr w:type="spellStart"/>
      <w:r w:rsidRPr="00BB2632">
        <w:rPr>
          <w:rFonts w:ascii="Arial" w:hAnsi="Arial" w:cs="Arial"/>
        </w:rPr>
        <w:t>Izabella</w:t>
      </w:r>
      <w:proofErr w:type="spellEnd"/>
      <w:r w:rsidRPr="00BB2632">
        <w:rPr>
          <w:rFonts w:ascii="Arial" w:hAnsi="Arial" w:cs="Arial"/>
        </w:rPr>
        <w:t xml:space="preserve"> Lacerda. </w:t>
      </w:r>
      <w:r w:rsidRPr="00BB2632">
        <w:rPr>
          <w:rFonts w:ascii="Arial" w:hAnsi="Arial" w:cs="Arial"/>
          <w:b/>
          <w:bCs/>
        </w:rPr>
        <w:t>Modelo de gestão para a monitoração eletrônica de pessoas.</w:t>
      </w:r>
      <w:r w:rsidRPr="00BB2632">
        <w:rPr>
          <w:rFonts w:ascii="Arial" w:hAnsi="Arial" w:cs="Arial"/>
        </w:rPr>
        <w:t xml:space="preserve"> 2017. Disponível em: </w:t>
      </w:r>
      <w:hyperlink r:id="rId35" w:tgtFrame="_blank" w:history="1">
        <w:r w:rsidRPr="00BB2632">
          <w:rPr>
            <w:rStyle w:val="Hyperlink"/>
            <w:rFonts w:ascii="Arial" w:hAnsi="Arial" w:cs="Arial"/>
            <w:color w:val="auto"/>
            <w:u w:val="none"/>
          </w:rPr>
          <w:t>http://dspace.mj.gov.br/</w:t>
        </w:r>
        <w:proofErr w:type="spellStart"/>
        <w:r w:rsidRPr="00BB2632">
          <w:rPr>
            <w:rStyle w:val="Hyperlink"/>
            <w:rFonts w:ascii="Arial" w:hAnsi="Arial" w:cs="Arial"/>
            <w:color w:val="auto"/>
            <w:u w:val="none"/>
          </w:rPr>
          <w:t>handle</w:t>
        </w:r>
        <w:proofErr w:type="spellEnd"/>
        <w:r w:rsidRPr="00BB2632">
          <w:rPr>
            <w:rStyle w:val="Hyperlink"/>
            <w:rFonts w:ascii="Arial" w:hAnsi="Arial" w:cs="Arial"/>
            <w:color w:val="auto"/>
            <w:u w:val="none"/>
          </w:rPr>
          <w:t>/1/5406</w:t>
        </w:r>
      </w:hyperlink>
      <w:r w:rsidRPr="00BB2632">
        <w:rPr>
          <w:rFonts w:ascii="Arial" w:hAnsi="Arial" w:cs="Arial"/>
        </w:rPr>
        <w:t>. Acesso em: 19 jun. 2024.</w:t>
      </w:r>
    </w:p>
    <w:p w14:paraId="402C7AB0" w14:textId="77777777" w:rsidR="008F7D31" w:rsidRPr="00BB2632" w:rsidRDefault="008F7D31" w:rsidP="008F7D31">
      <w:pPr>
        <w:tabs>
          <w:tab w:val="left" w:pos="0"/>
        </w:tabs>
        <w:jc w:val="both"/>
        <w:rPr>
          <w:rFonts w:ascii="Arial" w:hAnsi="Arial" w:cs="Arial"/>
        </w:rPr>
      </w:pPr>
      <w:r w:rsidRPr="00BB2632">
        <w:rPr>
          <w:rStyle w:val="bold"/>
          <w:rFonts w:ascii="Arial" w:hAnsi="Arial" w:cs="Arial"/>
          <w:color w:val="131314"/>
          <w:shd w:val="clear" w:color="auto" w:fill="FFFFFF"/>
        </w:rPr>
        <w:t xml:space="preserve">POZZETTI, Valmir César; CAVALCANTE, Denis Caetano Gomes; CAMPOS, Guilherme </w:t>
      </w:r>
      <w:proofErr w:type="spellStart"/>
      <w:r w:rsidRPr="00BB2632">
        <w:rPr>
          <w:rStyle w:val="bold"/>
          <w:rFonts w:ascii="Arial" w:hAnsi="Arial" w:cs="Arial"/>
          <w:color w:val="131314"/>
          <w:shd w:val="clear" w:color="auto" w:fill="FFFFFF"/>
        </w:rPr>
        <w:t>Keese</w:t>
      </w:r>
      <w:proofErr w:type="spellEnd"/>
      <w:r w:rsidRPr="00BB2632">
        <w:rPr>
          <w:rStyle w:val="bold"/>
          <w:rFonts w:ascii="Arial" w:hAnsi="Arial" w:cs="Arial"/>
          <w:color w:val="131314"/>
          <w:shd w:val="clear" w:color="auto" w:fill="FFFFFF"/>
        </w:rPr>
        <w:t xml:space="preserve"> Diogo</w:t>
      </w:r>
      <w:r w:rsidRPr="00BB2632">
        <w:rPr>
          <w:rStyle w:val="ng-star-inserted"/>
          <w:rFonts w:ascii="Arial" w:hAnsi="Arial" w:cs="Arial"/>
          <w:color w:val="131314"/>
          <w:shd w:val="clear" w:color="auto" w:fill="FFFFFF"/>
        </w:rPr>
        <w:t xml:space="preserve">. </w:t>
      </w:r>
      <w:r w:rsidRPr="00BB2632">
        <w:rPr>
          <w:rStyle w:val="ng-star-inserted"/>
          <w:rFonts w:ascii="Arial" w:hAnsi="Arial" w:cs="Arial"/>
          <w:b/>
          <w:bCs/>
          <w:color w:val="131314"/>
          <w:shd w:val="clear" w:color="auto" w:fill="FFFFFF"/>
        </w:rPr>
        <w:t>Uma análise do atual formato do cumprimento do regime semiaberto no Estado do Amazonas e o uso de tornozeleiras eletrônicas</w:t>
      </w:r>
      <w:r w:rsidRPr="00BB2632">
        <w:rPr>
          <w:rStyle w:val="ng-star-inserted"/>
          <w:rFonts w:ascii="Arial" w:hAnsi="Arial" w:cs="Arial"/>
          <w:color w:val="131314"/>
          <w:shd w:val="clear" w:color="auto" w:fill="FFFFFF"/>
        </w:rPr>
        <w:t xml:space="preserve">. In: </w:t>
      </w:r>
      <w:r w:rsidRPr="00BB2632">
        <w:rPr>
          <w:rStyle w:val="bold"/>
          <w:rFonts w:ascii="Arial" w:hAnsi="Arial" w:cs="Arial"/>
          <w:color w:val="131314"/>
          <w:shd w:val="clear" w:color="auto" w:fill="FFFFFF"/>
        </w:rPr>
        <w:t>CONGRESSO INTERNACIONAL DE DIREITO E INTELIGÊNCIA ARTIFICIAL, 2022, Belo Horizonte</w:t>
      </w:r>
      <w:r w:rsidRPr="00BB2632">
        <w:rPr>
          <w:rStyle w:val="ng-star-inserted"/>
          <w:rFonts w:ascii="Arial" w:hAnsi="Arial" w:cs="Arial"/>
          <w:color w:val="131314"/>
          <w:shd w:val="clear" w:color="auto" w:fill="FFFFFF"/>
        </w:rPr>
        <w:t xml:space="preserve">. </w:t>
      </w:r>
      <w:r w:rsidRPr="00BB2632">
        <w:rPr>
          <w:rStyle w:val="italic"/>
          <w:rFonts w:ascii="Arial" w:hAnsi="Arial" w:cs="Arial"/>
          <w:i/>
          <w:iCs/>
          <w:color w:val="131314"/>
          <w:shd w:val="clear" w:color="auto" w:fill="FFFFFF"/>
        </w:rPr>
        <w:t>Acesso à Justiça, Inteligência Artificial e Tecnologias do Processo Judicial I</w:t>
      </w:r>
      <w:r w:rsidRPr="00BB2632">
        <w:rPr>
          <w:rStyle w:val="ng-star-inserted"/>
          <w:rFonts w:ascii="Arial" w:hAnsi="Arial" w:cs="Arial"/>
          <w:color w:val="131314"/>
          <w:shd w:val="clear" w:color="auto" w:fill="FFFFFF"/>
        </w:rPr>
        <w:t xml:space="preserve">. Belo Horizonte: </w:t>
      </w:r>
      <w:proofErr w:type="spellStart"/>
      <w:r w:rsidRPr="00BB2632">
        <w:rPr>
          <w:rStyle w:val="ng-star-inserted"/>
          <w:rFonts w:ascii="Arial" w:hAnsi="Arial" w:cs="Arial"/>
          <w:color w:val="131314"/>
          <w:shd w:val="clear" w:color="auto" w:fill="FFFFFF"/>
        </w:rPr>
        <w:t>Skema</w:t>
      </w:r>
      <w:proofErr w:type="spellEnd"/>
      <w:r w:rsidRPr="00BB2632">
        <w:rPr>
          <w:rStyle w:val="ng-star-inserted"/>
          <w:rFonts w:ascii="Arial" w:hAnsi="Arial" w:cs="Arial"/>
          <w:color w:val="131314"/>
          <w:shd w:val="clear" w:color="auto" w:fill="FFFFFF"/>
        </w:rPr>
        <w:t xml:space="preserve"> Business </w:t>
      </w:r>
      <w:proofErr w:type="spellStart"/>
      <w:r w:rsidRPr="00BB2632">
        <w:rPr>
          <w:rStyle w:val="ng-star-inserted"/>
          <w:rFonts w:ascii="Arial" w:hAnsi="Arial" w:cs="Arial"/>
          <w:color w:val="131314"/>
          <w:shd w:val="clear" w:color="auto" w:fill="FFFFFF"/>
        </w:rPr>
        <w:t>School</w:t>
      </w:r>
      <w:proofErr w:type="spellEnd"/>
      <w:r w:rsidRPr="00BB2632">
        <w:rPr>
          <w:rStyle w:val="ng-star-inserted"/>
          <w:rFonts w:ascii="Arial" w:hAnsi="Arial" w:cs="Arial"/>
          <w:color w:val="131314"/>
          <w:shd w:val="clear" w:color="auto" w:fill="FFFFFF"/>
        </w:rPr>
        <w:t>, 2022. p. 101-1071. Disponível em: www.conpedi.org.br em publicações. Acesso em: 29 jun. 2025.</w:t>
      </w:r>
    </w:p>
    <w:p w14:paraId="056B9645" w14:textId="77777777" w:rsidR="008F7D31" w:rsidRPr="00BB2632" w:rsidRDefault="008F7D31" w:rsidP="008F7D31">
      <w:pPr>
        <w:jc w:val="both"/>
        <w:rPr>
          <w:rFonts w:ascii="Arial" w:hAnsi="Arial" w:cs="Arial"/>
        </w:rPr>
      </w:pPr>
      <w:r w:rsidRPr="00BB2632">
        <w:rPr>
          <w:rFonts w:ascii="Arial" w:hAnsi="Arial" w:cs="Arial"/>
        </w:rPr>
        <w:t xml:space="preserve">REZENDE, M. F. </w:t>
      </w:r>
      <w:r w:rsidRPr="00BB2632">
        <w:rPr>
          <w:rFonts w:ascii="Arial" w:hAnsi="Arial" w:cs="Arial"/>
          <w:b/>
          <w:bCs/>
        </w:rPr>
        <w:t xml:space="preserve">Tornozeleira eletrônica: </w:t>
      </w:r>
      <w:r w:rsidRPr="00BB2632">
        <w:rPr>
          <w:rFonts w:ascii="Arial" w:hAnsi="Arial" w:cs="Arial"/>
        </w:rPr>
        <w:t>meio de garantia da dignidade da pessoa humana frente a superlotação dos presídios brasileiros. 2020. Trabalho de Conclusão de Curso (Graduação em Direito). Universidade Federal de Uberlândia, Uberlândia, 2020.</w:t>
      </w:r>
    </w:p>
    <w:p w14:paraId="0B7090DD" w14:textId="77777777" w:rsidR="008F7D31" w:rsidRPr="00BB2632" w:rsidRDefault="008F7D31" w:rsidP="008F7D31">
      <w:pPr>
        <w:jc w:val="both"/>
        <w:rPr>
          <w:rFonts w:ascii="Arial" w:hAnsi="Arial" w:cs="Arial"/>
        </w:rPr>
      </w:pPr>
      <w:r w:rsidRPr="00BB2632">
        <w:rPr>
          <w:rFonts w:ascii="Arial" w:hAnsi="Arial" w:cs="Arial"/>
          <w:lang w:val="fr-FR"/>
        </w:rPr>
        <w:t xml:space="preserve">SCHWITZGEBEL, R. K. </w:t>
      </w:r>
      <w:r w:rsidRPr="00BB2632">
        <w:rPr>
          <w:rFonts w:ascii="Arial" w:hAnsi="Arial" w:cs="Arial"/>
          <w:b/>
          <w:bCs/>
          <w:lang w:val="fr-FR"/>
        </w:rPr>
        <w:t>Issues in the use of an electronic rehabilitation system with chronic recidivists.</w:t>
      </w:r>
      <w:r w:rsidRPr="00BB2632">
        <w:rPr>
          <w:rFonts w:ascii="Arial" w:hAnsi="Arial" w:cs="Arial"/>
          <w:lang w:val="fr-FR"/>
        </w:rPr>
        <w:t xml:space="preserve"> </w:t>
      </w:r>
      <w:r w:rsidRPr="00BB2632">
        <w:rPr>
          <w:rFonts w:ascii="Arial" w:hAnsi="Arial" w:cs="Arial"/>
        </w:rPr>
        <w:t xml:space="preserve">Law </w:t>
      </w:r>
      <w:proofErr w:type="spellStart"/>
      <w:r w:rsidRPr="00BB2632">
        <w:rPr>
          <w:rFonts w:ascii="Arial" w:hAnsi="Arial" w:cs="Arial"/>
        </w:rPr>
        <w:t>and</w:t>
      </w:r>
      <w:proofErr w:type="spellEnd"/>
      <w:r w:rsidRPr="00BB2632">
        <w:rPr>
          <w:rFonts w:ascii="Arial" w:hAnsi="Arial" w:cs="Arial"/>
        </w:rPr>
        <w:t xml:space="preserve"> Society Review, v. 3, n. 4, p. 597–611, 1969. Disponível em: </w:t>
      </w:r>
      <w:hyperlink r:id="rId36" w:tgtFrame="_blank" w:history="1">
        <w:r w:rsidRPr="00BB2632">
          <w:rPr>
            <w:rStyle w:val="Hyperlink"/>
            <w:rFonts w:ascii="Arial" w:hAnsi="Arial" w:cs="Arial"/>
            <w:color w:val="auto"/>
            <w:u w:val="none"/>
          </w:rPr>
          <w:t>https://www.jstor.org/</w:t>
        </w:r>
        <w:proofErr w:type="spellStart"/>
        <w:r w:rsidRPr="00BB2632">
          <w:rPr>
            <w:rStyle w:val="Hyperlink"/>
            <w:rFonts w:ascii="Arial" w:hAnsi="Arial" w:cs="Arial"/>
            <w:color w:val="auto"/>
            <w:u w:val="none"/>
          </w:rPr>
          <w:t>stable</w:t>
        </w:r>
        <w:proofErr w:type="spellEnd"/>
        <w:r w:rsidRPr="00BB2632">
          <w:rPr>
            <w:rStyle w:val="Hyperlink"/>
            <w:rFonts w:ascii="Arial" w:hAnsi="Arial" w:cs="Arial"/>
            <w:color w:val="auto"/>
            <w:u w:val="none"/>
          </w:rPr>
          <w:t>/3052751</w:t>
        </w:r>
      </w:hyperlink>
      <w:r w:rsidRPr="00BB2632">
        <w:rPr>
          <w:rFonts w:ascii="Arial" w:hAnsi="Arial" w:cs="Arial"/>
        </w:rPr>
        <w:t>. Acesso em: 06 jun. 2025.</w:t>
      </w:r>
    </w:p>
    <w:p w14:paraId="78721FCF" w14:textId="77777777" w:rsidR="008F7D31" w:rsidRPr="00BB2632" w:rsidRDefault="008F7D31" w:rsidP="008F7D31">
      <w:pPr>
        <w:jc w:val="both"/>
        <w:rPr>
          <w:rFonts w:ascii="Arial" w:hAnsi="Arial" w:cs="Arial"/>
        </w:rPr>
      </w:pPr>
      <w:r w:rsidRPr="00BB2632">
        <w:rPr>
          <w:rFonts w:ascii="Arial" w:hAnsi="Arial" w:cs="Arial"/>
        </w:rPr>
        <w:t>SCHWITZGEBEL, R. K.; BECK, B</w:t>
      </w:r>
      <w:r w:rsidRPr="00BB2632">
        <w:rPr>
          <w:rFonts w:ascii="Arial" w:hAnsi="Arial" w:cs="Arial"/>
          <w:b/>
          <w:bCs/>
        </w:rPr>
        <w:t xml:space="preserve">. </w:t>
      </w:r>
      <w:proofErr w:type="spellStart"/>
      <w:r w:rsidRPr="00BB2632">
        <w:rPr>
          <w:rFonts w:ascii="Arial" w:hAnsi="Arial" w:cs="Arial"/>
          <w:b/>
          <w:bCs/>
        </w:rPr>
        <w:t>Issues</w:t>
      </w:r>
      <w:proofErr w:type="spellEnd"/>
      <w:r w:rsidRPr="00BB2632">
        <w:rPr>
          <w:rFonts w:ascii="Arial" w:hAnsi="Arial" w:cs="Arial"/>
          <w:b/>
          <w:bCs/>
        </w:rPr>
        <w:t xml:space="preserve"> in </w:t>
      </w:r>
      <w:proofErr w:type="spellStart"/>
      <w:r w:rsidRPr="00BB2632">
        <w:rPr>
          <w:rFonts w:ascii="Arial" w:hAnsi="Arial" w:cs="Arial"/>
          <w:b/>
          <w:bCs/>
        </w:rPr>
        <w:t>the</w:t>
      </w:r>
      <w:proofErr w:type="spellEnd"/>
      <w:r w:rsidRPr="00BB2632">
        <w:rPr>
          <w:rFonts w:ascii="Arial" w:hAnsi="Arial" w:cs="Arial"/>
          <w:b/>
          <w:bCs/>
        </w:rPr>
        <w:t xml:space="preserve"> use </w:t>
      </w:r>
      <w:proofErr w:type="spellStart"/>
      <w:r w:rsidRPr="00BB2632">
        <w:rPr>
          <w:rFonts w:ascii="Arial" w:hAnsi="Arial" w:cs="Arial"/>
          <w:b/>
          <w:bCs/>
        </w:rPr>
        <w:t>of</w:t>
      </w:r>
      <w:proofErr w:type="spellEnd"/>
      <w:r w:rsidRPr="00BB2632">
        <w:rPr>
          <w:rFonts w:ascii="Arial" w:hAnsi="Arial" w:cs="Arial"/>
          <w:b/>
          <w:bCs/>
        </w:rPr>
        <w:t xml:space="preserve"> </w:t>
      </w:r>
      <w:proofErr w:type="spellStart"/>
      <w:r w:rsidRPr="00BB2632">
        <w:rPr>
          <w:rFonts w:ascii="Arial" w:hAnsi="Arial" w:cs="Arial"/>
          <w:b/>
          <w:bCs/>
        </w:rPr>
        <w:t>an</w:t>
      </w:r>
      <w:proofErr w:type="spellEnd"/>
      <w:r w:rsidRPr="00BB2632">
        <w:rPr>
          <w:rFonts w:ascii="Arial" w:hAnsi="Arial" w:cs="Arial"/>
          <w:b/>
          <w:bCs/>
        </w:rPr>
        <w:t xml:space="preserve"> </w:t>
      </w:r>
      <w:proofErr w:type="spellStart"/>
      <w:r w:rsidRPr="00BB2632">
        <w:rPr>
          <w:rFonts w:ascii="Arial" w:hAnsi="Arial" w:cs="Arial"/>
          <w:b/>
          <w:bCs/>
        </w:rPr>
        <w:t>electronic</w:t>
      </w:r>
      <w:proofErr w:type="spellEnd"/>
      <w:r w:rsidRPr="00BB2632">
        <w:rPr>
          <w:rFonts w:ascii="Arial" w:hAnsi="Arial" w:cs="Arial"/>
          <w:b/>
          <w:bCs/>
        </w:rPr>
        <w:t xml:space="preserve"> </w:t>
      </w:r>
      <w:proofErr w:type="spellStart"/>
      <w:r w:rsidRPr="00BB2632">
        <w:rPr>
          <w:rFonts w:ascii="Arial" w:hAnsi="Arial" w:cs="Arial"/>
          <w:b/>
          <w:bCs/>
        </w:rPr>
        <w:t>rehabilitation</w:t>
      </w:r>
      <w:proofErr w:type="spellEnd"/>
      <w:r w:rsidRPr="00BB2632">
        <w:rPr>
          <w:rFonts w:ascii="Arial" w:hAnsi="Arial" w:cs="Arial"/>
          <w:b/>
          <w:bCs/>
        </w:rPr>
        <w:t xml:space="preserve"> system </w:t>
      </w:r>
      <w:proofErr w:type="spellStart"/>
      <w:r w:rsidRPr="00BB2632">
        <w:rPr>
          <w:rFonts w:ascii="Arial" w:hAnsi="Arial" w:cs="Arial"/>
          <w:b/>
          <w:bCs/>
        </w:rPr>
        <w:t>with</w:t>
      </w:r>
      <w:proofErr w:type="spellEnd"/>
      <w:r w:rsidRPr="00BB2632">
        <w:rPr>
          <w:rFonts w:ascii="Arial" w:hAnsi="Arial" w:cs="Arial"/>
          <w:b/>
          <w:bCs/>
        </w:rPr>
        <w:t xml:space="preserve"> </w:t>
      </w:r>
      <w:proofErr w:type="spellStart"/>
      <w:r w:rsidRPr="00BB2632">
        <w:rPr>
          <w:rFonts w:ascii="Arial" w:hAnsi="Arial" w:cs="Arial"/>
          <w:b/>
          <w:bCs/>
        </w:rPr>
        <w:t>chronic</w:t>
      </w:r>
      <w:proofErr w:type="spellEnd"/>
      <w:r w:rsidRPr="00BB2632">
        <w:rPr>
          <w:rFonts w:ascii="Arial" w:hAnsi="Arial" w:cs="Arial"/>
          <w:b/>
          <w:bCs/>
        </w:rPr>
        <w:t xml:space="preserve"> </w:t>
      </w:r>
      <w:proofErr w:type="spellStart"/>
      <w:r w:rsidRPr="00BB2632">
        <w:rPr>
          <w:rFonts w:ascii="Arial" w:hAnsi="Arial" w:cs="Arial"/>
          <w:b/>
          <w:bCs/>
        </w:rPr>
        <w:t>recidivists</w:t>
      </w:r>
      <w:proofErr w:type="spellEnd"/>
      <w:r w:rsidRPr="00BB2632">
        <w:rPr>
          <w:rFonts w:ascii="Arial" w:hAnsi="Arial" w:cs="Arial"/>
          <w:b/>
          <w:bCs/>
        </w:rPr>
        <w:t>.</w:t>
      </w:r>
      <w:r w:rsidRPr="00BB2632">
        <w:rPr>
          <w:rFonts w:ascii="Arial" w:hAnsi="Arial" w:cs="Arial"/>
        </w:rPr>
        <w:t xml:space="preserve"> Law &amp; Society Review, v. 3, n. 4, p. 597–615, 1969. Disponível em: </w:t>
      </w:r>
      <w:hyperlink r:id="rId37" w:tgtFrame="_blank" w:history="1">
        <w:r w:rsidRPr="00BB2632">
          <w:rPr>
            <w:rStyle w:val="Hyperlink"/>
            <w:rFonts w:ascii="Arial" w:hAnsi="Arial" w:cs="Arial"/>
            <w:color w:val="auto"/>
            <w:u w:val="none"/>
          </w:rPr>
          <w:t>https://doi.org/10.2307/305275</w:t>
        </w:r>
      </w:hyperlink>
      <w:r w:rsidRPr="00BB2632">
        <w:rPr>
          <w:rFonts w:ascii="Arial" w:hAnsi="Arial" w:cs="Arial"/>
        </w:rPr>
        <w:t>. Acesso em: 19 jun. 2025.</w:t>
      </w:r>
    </w:p>
    <w:p w14:paraId="4D3B4AE0" w14:textId="77777777" w:rsidR="008F7D31" w:rsidRPr="00BB2632" w:rsidRDefault="008F7D31" w:rsidP="008F7D31">
      <w:pPr>
        <w:jc w:val="both"/>
        <w:rPr>
          <w:rFonts w:ascii="Arial" w:hAnsi="Arial" w:cs="Arial"/>
        </w:rPr>
      </w:pPr>
      <w:r w:rsidRPr="00BB2632">
        <w:rPr>
          <w:rFonts w:ascii="Arial" w:hAnsi="Arial" w:cs="Arial"/>
        </w:rPr>
        <w:t xml:space="preserve">SUPREMO TRIBUNAL FEDERAL (STF). </w:t>
      </w:r>
      <w:r w:rsidRPr="00BB2632">
        <w:rPr>
          <w:rFonts w:ascii="Arial" w:hAnsi="Arial" w:cs="Arial"/>
          <w:b/>
          <w:bCs/>
        </w:rPr>
        <w:t>ADPF 347</w:t>
      </w:r>
      <w:r w:rsidRPr="00BB2632">
        <w:rPr>
          <w:rFonts w:ascii="Arial" w:hAnsi="Arial" w:cs="Arial"/>
        </w:rPr>
        <w:t>: informações à sociedade. Disponível em: </w:t>
      </w:r>
      <w:hyperlink r:id="rId38" w:tgtFrame="_blank" w:history="1">
        <w:r w:rsidRPr="00BB2632">
          <w:rPr>
            <w:rStyle w:val="Hyperlink"/>
            <w:rFonts w:ascii="Arial" w:hAnsi="Arial" w:cs="Arial"/>
            <w:color w:val="auto"/>
            <w:u w:val="none"/>
          </w:rPr>
          <w:t>https://www.stf.jus.br/arquivo/cms/noticiaNoticiaStf/anexo/1ADPF347InformaosociedadeV2_6out23_17h55.pdf</w:t>
        </w:r>
      </w:hyperlink>
      <w:r w:rsidRPr="00BB2632">
        <w:rPr>
          <w:rFonts w:ascii="Arial" w:hAnsi="Arial" w:cs="Arial"/>
        </w:rPr>
        <w:t>. Acesso em: 14 jun. 2025.</w:t>
      </w:r>
    </w:p>
    <w:p w14:paraId="76B444D2" w14:textId="77777777" w:rsidR="008F7D31" w:rsidRPr="00BB2632" w:rsidRDefault="008F7D31" w:rsidP="008F7D31">
      <w:pPr>
        <w:jc w:val="both"/>
        <w:rPr>
          <w:rFonts w:ascii="Arial" w:hAnsi="Arial" w:cs="Arial"/>
        </w:rPr>
      </w:pPr>
      <w:r w:rsidRPr="00BB2632">
        <w:rPr>
          <w:rFonts w:ascii="Arial" w:hAnsi="Arial" w:cs="Arial"/>
        </w:rPr>
        <w:t xml:space="preserve">TRIBUNAL DE JUSTIÇA DO AMAZONAS (TJAM). </w:t>
      </w:r>
      <w:r w:rsidRPr="00BB2632">
        <w:rPr>
          <w:rFonts w:ascii="Arial" w:hAnsi="Arial" w:cs="Arial"/>
          <w:b/>
          <w:bCs/>
        </w:rPr>
        <w:t>Portaria Conjunta nº 37, de 2022</w:t>
      </w:r>
      <w:r w:rsidRPr="00BB2632">
        <w:rPr>
          <w:rFonts w:ascii="Arial" w:hAnsi="Arial" w:cs="Arial"/>
        </w:rPr>
        <w:t>. Regulamenta a aplicação e acompanhamento do monitoramento eletrônico no âmbito do sistema de justiça criminal do Estado do Amazonas. Manaus, 2022. (Documento interno. Disponível mediante consulta ao TJAM).</w:t>
      </w:r>
    </w:p>
    <w:p w14:paraId="7CC11722" w14:textId="77777777" w:rsidR="008F7D31" w:rsidRPr="00BB2632" w:rsidRDefault="008F7D31" w:rsidP="008F7D31">
      <w:pPr>
        <w:jc w:val="both"/>
        <w:rPr>
          <w:rFonts w:ascii="Arial" w:hAnsi="Arial" w:cs="Arial"/>
        </w:rPr>
      </w:pPr>
      <w:r w:rsidRPr="00BB2632">
        <w:rPr>
          <w:rFonts w:ascii="Arial" w:hAnsi="Arial" w:cs="Arial"/>
        </w:rPr>
        <w:t>TRIBUNAL DE JUSTIÇA DO AMAZONAS (TJAM). TJAM e SEAP firmam Instrução Normativa para tratar do uso de tornozeleira eletrônica no Amazonas. Disponível em: </w:t>
      </w:r>
      <w:hyperlink r:id="rId39" w:tgtFrame="_blank" w:history="1">
        <w:r w:rsidRPr="00BB2632">
          <w:rPr>
            <w:rStyle w:val="Hyperlink"/>
            <w:rFonts w:ascii="Arial" w:hAnsi="Arial" w:cs="Arial"/>
            <w:color w:val="auto"/>
            <w:u w:val="none"/>
          </w:rPr>
          <w:t>https://www.tjam.jus.br/index.php/menu/sala-de-imprensa/3641-tjam-e-seap-firmam-instrucao-normativa-para-tratar-do-uso-de-tornozeleira-eletronica-no-amazonas</w:t>
        </w:r>
      </w:hyperlink>
      <w:r w:rsidRPr="00BB2632">
        <w:rPr>
          <w:rFonts w:ascii="Arial" w:hAnsi="Arial" w:cs="Arial"/>
        </w:rPr>
        <w:t>. Acesso em: 14 jun. 2025.</w:t>
      </w:r>
    </w:p>
    <w:p w14:paraId="16A17475" w14:textId="77777777" w:rsidR="008F7D31" w:rsidRPr="00BB2632" w:rsidRDefault="008F7D31" w:rsidP="008F7D31">
      <w:pPr>
        <w:jc w:val="both"/>
        <w:rPr>
          <w:rFonts w:ascii="Arial" w:hAnsi="Arial" w:cs="Arial"/>
        </w:rPr>
      </w:pPr>
      <w:r w:rsidRPr="00BB2632">
        <w:rPr>
          <w:rFonts w:ascii="Arial" w:hAnsi="Arial" w:cs="Arial"/>
        </w:rPr>
        <w:t xml:space="preserve">WERMUTH, Maiquel Ângelo </w:t>
      </w:r>
      <w:proofErr w:type="spellStart"/>
      <w:r w:rsidRPr="00BB2632">
        <w:rPr>
          <w:rFonts w:ascii="Arial" w:hAnsi="Arial" w:cs="Arial"/>
        </w:rPr>
        <w:t>Dezordi</w:t>
      </w:r>
      <w:proofErr w:type="spellEnd"/>
      <w:r w:rsidRPr="00BB2632">
        <w:rPr>
          <w:rFonts w:ascii="Arial" w:hAnsi="Arial" w:cs="Arial"/>
        </w:rPr>
        <w:t xml:space="preserve">; CHINI, Mariana. </w:t>
      </w:r>
      <w:r w:rsidRPr="00BB2632">
        <w:rPr>
          <w:rFonts w:ascii="Arial" w:hAnsi="Arial" w:cs="Arial"/>
          <w:b/>
          <w:bCs/>
        </w:rPr>
        <w:t xml:space="preserve">Monitoração eletrônica de pessoas em âmbito penal: </w:t>
      </w:r>
      <w:r w:rsidRPr="00BB2632">
        <w:rPr>
          <w:rFonts w:ascii="Arial" w:hAnsi="Arial" w:cs="Arial"/>
        </w:rPr>
        <w:t xml:space="preserve">considerações sobre o transcurso da tecnologia. Revista </w:t>
      </w:r>
      <w:proofErr w:type="spellStart"/>
      <w:r w:rsidRPr="00BB2632">
        <w:rPr>
          <w:rFonts w:ascii="Arial" w:hAnsi="Arial" w:cs="Arial"/>
        </w:rPr>
        <w:t>Meritum</w:t>
      </w:r>
      <w:proofErr w:type="spellEnd"/>
      <w:r w:rsidRPr="00BB2632">
        <w:rPr>
          <w:rFonts w:ascii="Arial" w:hAnsi="Arial" w:cs="Arial"/>
        </w:rPr>
        <w:t>, Belo Horizonte, v. 17, n. 2, p. 110-123, 2022. Disponível em: </w:t>
      </w:r>
      <w:hyperlink r:id="rId40" w:tgtFrame="_blank" w:history="1">
        <w:r w:rsidRPr="00BB2632">
          <w:rPr>
            <w:rStyle w:val="Hyperlink"/>
            <w:rFonts w:ascii="Arial" w:hAnsi="Arial" w:cs="Arial"/>
            <w:color w:val="auto"/>
            <w:u w:val="none"/>
          </w:rPr>
          <w:t>https://revista.fumec.br/index.php/meritum/article/view/8854</w:t>
        </w:r>
      </w:hyperlink>
      <w:r w:rsidRPr="00BB2632">
        <w:rPr>
          <w:rFonts w:ascii="Arial" w:hAnsi="Arial" w:cs="Arial"/>
        </w:rPr>
        <w:t>. Acesso em: 19 jun. 2025.</w:t>
      </w:r>
    </w:p>
    <w:p w14:paraId="4AFD5EC8" w14:textId="77777777" w:rsidR="008F7D31" w:rsidRPr="00BB2632" w:rsidRDefault="008F7D31" w:rsidP="008F7D31">
      <w:pPr>
        <w:jc w:val="both"/>
        <w:rPr>
          <w:rFonts w:ascii="Arial" w:hAnsi="Arial" w:cs="Arial"/>
        </w:rPr>
      </w:pPr>
      <w:r w:rsidRPr="00BB2632">
        <w:rPr>
          <w:rFonts w:ascii="Arial" w:hAnsi="Arial" w:cs="Arial"/>
        </w:rPr>
        <w:t xml:space="preserve">WERMUTH, M. Ângelo D.; CHINI, M. </w:t>
      </w:r>
      <w:r w:rsidRPr="00BB2632">
        <w:rPr>
          <w:rFonts w:ascii="Arial" w:hAnsi="Arial" w:cs="Arial"/>
          <w:b/>
          <w:bCs/>
        </w:rPr>
        <w:t>Monitoração eletrônica de pessoas em âmbito penal: considerações sobre o transcurso da tecnologia</w:t>
      </w:r>
      <w:r w:rsidRPr="00BB2632">
        <w:rPr>
          <w:rFonts w:ascii="Arial" w:hAnsi="Arial" w:cs="Arial"/>
        </w:rPr>
        <w:t>. Revista de Direitos Humanos e Desenvolvimento Social, [S. l.], v. 2, p. 1–18, 2022. DOI: 10.24220/2675-9160v2e2021a5790. Disponível em: </w:t>
      </w:r>
      <w:hyperlink r:id="rId41" w:tgtFrame="_blank" w:history="1">
        <w:r w:rsidRPr="00BB2632">
          <w:rPr>
            <w:rStyle w:val="Hyperlink"/>
            <w:rFonts w:ascii="Arial" w:hAnsi="Arial" w:cs="Arial"/>
            <w:color w:val="auto"/>
            <w:u w:val="none"/>
          </w:rPr>
          <w:t>https://periodicos.puccampinas.edu.br/direitoshumanos/article/view/5790</w:t>
        </w:r>
      </w:hyperlink>
      <w:r w:rsidRPr="00BB2632">
        <w:rPr>
          <w:rFonts w:ascii="Arial" w:hAnsi="Arial" w:cs="Arial"/>
        </w:rPr>
        <w:t>. Acesso em: 23 jun. 2025.</w:t>
      </w:r>
    </w:p>
    <w:p w14:paraId="7529F3EC" w14:textId="77777777" w:rsidR="008F7D31" w:rsidRPr="00BB2632" w:rsidRDefault="008F7D31" w:rsidP="008F7D31">
      <w:pPr>
        <w:spacing w:after="0" w:line="360" w:lineRule="auto"/>
        <w:ind w:firstLine="851"/>
        <w:jc w:val="both"/>
        <w:rPr>
          <w:rFonts w:ascii="Arial" w:hAnsi="Arial" w:cs="Arial"/>
          <w:i/>
        </w:rPr>
      </w:pPr>
    </w:p>
    <w:p w14:paraId="26191E29" w14:textId="77777777" w:rsidR="00362311" w:rsidRPr="003939FA" w:rsidRDefault="00362311" w:rsidP="00362311">
      <w:pPr>
        <w:spacing w:after="0" w:line="240" w:lineRule="auto"/>
        <w:jc w:val="both"/>
        <w:rPr>
          <w:rFonts w:ascii="Arial" w:hAnsi="Arial" w:cs="Arial"/>
          <w:sz w:val="24"/>
          <w:szCs w:val="24"/>
        </w:rPr>
      </w:pPr>
    </w:p>
    <w:p w14:paraId="2CA6D1A1" w14:textId="3FB38F44" w:rsidR="00362311" w:rsidRPr="003939FA" w:rsidRDefault="00362311" w:rsidP="00362311">
      <w:pPr>
        <w:spacing w:after="0" w:line="240" w:lineRule="auto"/>
        <w:jc w:val="right"/>
        <w:rPr>
          <w:rFonts w:ascii="Arial" w:hAnsi="Arial" w:cs="Arial"/>
          <w:i/>
          <w:sz w:val="24"/>
          <w:szCs w:val="24"/>
        </w:rPr>
      </w:pPr>
      <w:r w:rsidRPr="003939FA">
        <w:rPr>
          <w:rFonts w:ascii="Arial" w:hAnsi="Arial" w:cs="Arial"/>
          <w:i/>
          <w:sz w:val="24"/>
          <w:szCs w:val="24"/>
        </w:rPr>
        <w:t xml:space="preserve">Recebido em: </w:t>
      </w:r>
      <w:r>
        <w:rPr>
          <w:rFonts w:ascii="Arial" w:hAnsi="Arial" w:cs="Arial"/>
          <w:i/>
          <w:sz w:val="24"/>
          <w:szCs w:val="24"/>
        </w:rPr>
        <w:t>11</w:t>
      </w:r>
      <w:r w:rsidRPr="003939FA">
        <w:rPr>
          <w:rFonts w:ascii="Arial" w:hAnsi="Arial" w:cs="Arial"/>
          <w:i/>
          <w:sz w:val="24"/>
          <w:szCs w:val="24"/>
        </w:rPr>
        <w:t>/</w:t>
      </w:r>
      <w:r>
        <w:rPr>
          <w:rFonts w:ascii="Arial" w:hAnsi="Arial" w:cs="Arial"/>
          <w:i/>
          <w:sz w:val="24"/>
          <w:szCs w:val="24"/>
        </w:rPr>
        <w:t>10</w:t>
      </w:r>
      <w:r w:rsidRPr="003939FA">
        <w:rPr>
          <w:rFonts w:ascii="Arial" w:hAnsi="Arial" w:cs="Arial"/>
          <w:i/>
          <w:sz w:val="24"/>
          <w:szCs w:val="24"/>
        </w:rPr>
        <w:t>/20</w:t>
      </w:r>
      <w:r>
        <w:rPr>
          <w:rFonts w:ascii="Arial" w:hAnsi="Arial" w:cs="Arial"/>
          <w:i/>
          <w:sz w:val="24"/>
          <w:szCs w:val="24"/>
        </w:rPr>
        <w:t>25</w:t>
      </w:r>
    </w:p>
    <w:p w14:paraId="16C4D2F3" w14:textId="24C6C0F2" w:rsidR="00362311" w:rsidRPr="003939FA" w:rsidRDefault="00362311" w:rsidP="00362311">
      <w:pPr>
        <w:spacing w:after="0" w:line="240" w:lineRule="auto"/>
        <w:jc w:val="right"/>
        <w:rPr>
          <w:rFonts w:ascii="Arial" w:hAnsi="Arial" w:cs="Arial"/>
          <w:i/>
          <w:sz w:val="24"/>
          <w:szCs w:val="24"/>
        </w:rPr>
      </w:pPr>
      <w:r w:rsidRPr="003939FA">
        <w:rPr>
          <w:rFonts w:ascii="Arial" w:hAnsi="Arial" w:cs="Arial"/>
          <w:i/>
          <w:sz w:val="24"/>
          <w:szCs w:val="24"/>
        </w:rPr>
        <w:t xml:space="preserve">Aprovado em: </w:t>
      </w:r>
      <w:r>
        <w:rPr>
          <w:rFonts w:ascii="Arial" w:hAnsi="Arial" w:cs="Arial"/>
          <w:i/>
          <w:sz w:val="24"/>
          <w:szCs w:val="24"/>
        </w:rPr>
        <w:t>29</w:t>
      </w:r>
      <w:r w:rsidRPr="003939FA">
        <w:rPr>
          <w:rFonts w:ascii="Arial" w:hAnsi="Arial" w:cs="Arial"/>
          <w:i/>
          <w:sz w:val="24"/>
          <w:szCs w:val="24"/>
        </w:rPr>
        <w:t>/</w:t>
      </w:r>
      <w:r>
        <w:rPr>
          <w:rFonts w:ascii="Arial" w:hAnsi="Arial" w:cs="Arial"/>
          <w:i/>
          <w:sz w:val="24"/>
          <w:szCs w:val="24"/>
        </w:rPr>
        <w:t>10</w:t>
      </w:r>
      <w:r w:rsidRPr="003939FA">
        <w:rPr>
          <w:rFonts w:ascii="Arial" w:hAnsi="Arial" w:cs="Arial"/>
          <w:i/>
          <w:sz w:val="24"/>
          <w:szCs w:val="24"/>
        </w:rPr>
        <w:t>/202</w:t>
      </w:r>
      <w:r>
        <w:rPr>
          <w:rFonts w:ascii="Arial" w:hAnsi="Arial" w:cs="Arial"/>
          <w:i/>
          <w:sz w:val="24"/>
          <w:szCs w:val="24"/>
        </w:rPr>
        <w:t>5</w:t>
      </w:r>
    </w:p>
    <w:p w14:paraId="17DD765E" w14:textId="77777777" w:rsidR="00362311" w:rsidRPr="003939FA" w:rsidRDefault="00362311" w:rsidP="00362311">
      <w:pPr>
        <w:spacing w:after="0" w:line="240" w:lineRule="auto"/>
        <w:jc w:val="right"/>
        <w:rPr>
          <w:rFonts w:ascii="Arial" w:hAnsi="Arial" w:cs="Arial"/>
          <w:i/>
          <w:sz w:val="24"/>
          <w:szCs w:val="24"/>
        </w:rPr>
      </w:pPr>
      <w:r w:rsidRPr="003939FA">
        <w:rPr>
          <w:rFonts w:ascii="Arial" w:hAnsi="Arial" w:cs="Arial"/>
          <w:i/>
          <w:sz w:val="24"/>
          <w:szCs w:val="24"/>
        </w:rPr>
        <w:t xml:space="preserve">Publicado em: </w:t>
      </w:r>
      <w:r>
        <w:rPr>
          <w:rFonts w:ascii="Arial" w:hAnsi="Arial" w:cs="Arial"/>
          <w:i/>
          <w:sz w:val="24"/>
          <w:szCs w:val="24"/>
        </w:rPr>
        <w:t>31</w:t>
      </w:r>
      <w:r w:rsidRPr="003939FA">
        <w:rPr>
          <w:rFonts w:ascii="Arial" w:hAnsi="Arial" w:cs="Arial"/>
          <w:i/>
          <w:sz w:val="24"/>
          <w:szCs w:val="24"/>
        </w:rPr>
        <w:t>/</w:t>
      </w:r>
      <w:r>
        <w:rPr>
          <w:rFonts w:ascii="Arial" w:hAnsi="Arial" w:cs="Arial"/>
          <w:i/>
          <w:sz w:val="24"/>
          <w:szCs w:val="24"/>
        </w:rPr>
        <w:t>10</w:t>
      </w:r>
      <w:r w:rsidRPr="003939FA">
        <w:rPr>
          <w:rFonts w:ascii="Arial" w:hAnsi="Arial" w:cs="Arial"/>
          <w:i/>
          <w:sz w:val="24"/>
          <w:szCs w:val="24"/>
        </w:rPr>
        <w:t>/202</w:t>
      </w:r>
      <w:r>
        <w:rPr>
          <w:rFonts w:ascii="Arial" w:hAnsi="Arial" w:cs="Arial"/>
          <w:i/>
          <w:sz w:val="24"/>
          <w:szCs w:val="24"/>
        </w:rPr>
        <w:t>5</w:t>
      </w:r>
    </w:p>
    <w:p w14:paraId="2612AF92" w14:textId="01731FD7" w:rsidR="00362311" w:rsidRDefault="00362311" w:rsidP="00362311">
      <w:pPr>
        <w:spacing w:after="0" w:line="240" w:lineRule="auto"/>
        <w:ind w:firstLine="851"/>
        <w:jc w:val="both"/>
        <w:rPr>
          <w:rFonts w:ascii="Arial" w:hAnsi="Arial" w:cs="Arial"/>
          <w:i/>
          <w:sz w:val="24"/>
          <w:szCs w:val="24"/>
        </w:rPr>
      </w:pPr>
      <w:r w:rsidRPr="003939FA">
        <w:rPr>
          <w:noProof/>
          <w:sz w:val="24"/>
          <w:szCs w:val="24"/>
        </w:rPr>
        <w:drawing>
          <wp:anchor distT="0" distB="0" distL="114300" distR="114300" simplePos="0" relativeHeight="251669504" behindDoc="0" locked="0" layoutInCell="1" allowOverlap="1" wp14:anchorId="7922191A" wp14:editId="6799FBEE">
            <wp:simplePos x="0" y="0"/>
            <wp:positionH relativeFrom="column">
              <wp:posOffset>-1122045</wp:posOffset>
            </wp:positionH>
            <wp:positionV relativeFrom="paragraph">
              <wp:posOffset>6581684</wp:posOffset>
            </wp:positionV>
            <wp:extent cx="7653600" cy="914400"/>
            <wp:effectExtent l="0" t="0" r="5080" b="0"/>
            <wp:wrapNone/>
            <wp:docPr id="1179317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7C15C" w14:textId="38992E82" w:rsidR="001B3146" w:rsidRPr="003939FA" w:rsidRDefault="00BB2632" w:rsidP="00362311">
      <w:pPr>
        <w:spacing w:after="0" w:line="240" w:lineRule="auto"/>
        <w:jc w:val="right"/>
        <w:rPr>
          <w:rFonts w:ascii="Arial" w:hAnsi="Arial" w:cs="Arial"/>
          <w:i/>
          <w:sz w:val="24"/>
          <w:szCs w:val="24"/>
        </w:rPr>
      </w:pPr>
      <w:r>
        <w:rPr>
          <w:noProof/>
        </w:rPr>
        <w:drawing>
          <wp:anchor distT="0" distB="0" distL="114300" distR="114300" simplePos="0" relativeHeight="251671552" behindDoc="0" locked="0" layoutInCell="1" allowOverlap="1" wp14:anchorId="121D43D3" wp14:editId="11B78E28">
            <wp:simplePos x="0" y="0"/>
            <wp:positionH relativeFrom="column">
              <wp:posOffset>-1114425</wp:posOffset>
            </wp:positionH>
            <wp:positionV relativeFrom="paragraph">
              <wp:posOffset>266065</wp:posOffset>
            </wp:positionV>
            <wp:extent cx="7653600" cy="914400"/>
            <wp:effectExtent l="0" t="0" r="5080" b="0"/>
            <wp:wrapNone/>
            <wp:docPr id="3095284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536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B3146" w:rsidRPr="003939FA" w:rsidSect="00954D67">
      <w:headerReference w:type="default" r:id="rId42"/>
      <w:footerReference w:type="default" r:id="rId43"/>
      <w:pgSz w:w="11906" w:h="16838"/>
      <w:pgMar w:top="1702"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1FDB1" w14:textId="77777777" w:rsidR="000510F1" w:rsidRDefault="000510F1" w:rsidP="009B06D8">
      <w:pPr>
        <w:spacing w:after="0" w:line="240" w:lineRule="auto"/>
      </w:pPr>
      <w:r>
        <w:separator/>
      </w:r>
    </w:p>
  </w:endnote>
  <w:endnote w:type="continuationSeparator" w:id="0">
    <w:p w14:paraId="740A3B49" w14:textId="77777777" w:rsidR="000510F1" w:rsidRDefault="000510F1" w:rsidP="009B0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wis721 Cn BT">
    <w:panose1 w:val="00000000000000000000"/>
    <w:charset w:val="00"/>
    <w:family w:val="roman"/>
    <w:notTrueType/>
    <w:pitch w:val="default"/>
    <w:sig w:usb0="00000003" w:usb1="00000000" w:usb2="00000000" w:usb3="00000000" w:csb0="00000001" w:csb1="00000000"/>
  </w:font>
  <w:font w:name="AGaramond">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385452"/>
      <w:docPartObj>
        <w:docPartGallery w:val="Page Numbers (Bottom of Page)"/>
        <w:docPartUnique/>
      </w:docPartObj>
    </w:sdtPr>
    <w:sdtContent>
      <w:p w14:paraId="69F9AAE8" w14:textId="77777777" w:rsidR="00600269" w:rsidRDefault="00600269">
        <w:pPr>
          <w:pStyle w:val="Rodap"/>
          <w:jc w:val="right"/>
        </w:pPr>
        <w:r>
          <w:fldChar w:fldCharType="begin"/>
        </w:r>
        <w:r>
          <w:instrText>PAGE   \* MERGEFORMAT</w:instrText>
        </w:r>
        <w:r>
          <w:fldChar w:fldCharType="separate"/>
        </w:r>
        <w:r w:rsidR="00EB0A0E">
          <w:rPr>
            <w:noProof/>
          </w:rPr>
          <w:t>2</w:t>
        </w:r>
        <w:r>
          <w:fldChar w:fldCharType="end"/>
        </w:r>
      </w:p>
    </w:sdtContent>
  </w:sdt>
  <w:p w14:paraId="2A1E6EA8" w14:textId="77777777" w:rsidR="00600269" w:rsidRPr="00600269" w:rsidRDefault="00600269" w:rsidP="00600269">
    <w:pPr>
      <w:pStyle w:val="Rodap"/>
      <w:rPr>
        <w:rStyle w:val="fontstyle01"/>
        <w:rFonts w:ascii="Arial" w:hAnsi="Arial" w:cs="Arial"/>
        <w:sz w:val="22"/>
      </w:rPr>
    </w:pPr>
    <w:r w:rsidRPr="00600269">
      <w:rPr>
        <w:rStyle w:val="fontstyle01"/>
        <w:rFonts w:ascii="Arial" w:hAnsi="Arial" w:cs="Arial"/>
        <w:sz w:val="22"/>
      </w:rPr>
      <w:t>_____________________________________________________________________</w:t>
    </w:r>
  </w:p>
  <w:p w14:paraId="6C87FDD8" w14:textId="74C1A2D3" w:rsidR="00600269" w:rsidRPr="000F23D5" w:rsidRDefault="00600269" w:rsidP="00600269">
    <w:pPr>
      <w:pStyle w:val="Rodap"/>
      <w:jc w:val="center"/>
      <w:rPr>
        <w:rFonts w:ascii="Arial" w:hAnsi="Arial" w:cs="Arial"/>
        <w:sz w:val="18"/>
        <w:szCs w:val="20"/>
      </w:rPr>
    </w:pPr>
    <w:r w:rsidRPr="000F23D5">
      <w:rPr>
        <w:rStyle w:val="fontstyle01"/>
        <w:rFonts w:ascii="Arial" w:hAnsi="Arial" w:cs="Arial"/>
        <w:sz w:val="20"/>
        <w:szCs w:val="22"/>
      </w:rPr>
      <w:t xml:space="preserve">Revista Geopolítica Transfronteiriça, v. </w:t>
    </w:r>
    <w:r w:rsidR="009E7655">
      <w:rPr>
        <w:rStyle w:val="fontstyle01"/>
        <w:rFonts w:ascii="Arial" w:hAnsi="Arial" w:cs="Arial"/>
        <w:sz w:val="20"/>
        <w:szCs w:val="22"/>
      </w:rPr>
      <w:t>9</w:t>
    </w:r>
    <w:r w:rsidRPr="000F23D5">
      <w:rPr>
        <w:rStyle w:val="fontstyle01"/>
        <w:rFonts w:ascii="Arial" w:hAnsi="Arial" w:cs="Arial"/>
        <w:sz w:val="20"/>
        <w:szCs w:val="22"/>
      </w:rPr>
      <w:t xml:space="preserve">, nº </w:t>
    </w:r>
    <w:r w:rsidR="00362311">
      <w:rPr>
        <w:rStyle w:val="fontstyle01"/>
        <w:rFonts w:ascii="Arial" w:hAnsi="Arial" w:cs="Arial"/>
        <w:sz w:val="20"/>
        <w:szCs w:val="22"/>
      </w:rPr>
      <w:t>4</w:t>
    </w:r>
    <w:r w:rsidRPr="000F23D5">
      <w:rPr>
        <w:rStyle w:val="fontstyle01"/>
        <w:rFonts w:ascii="Arial" w:hAnsi="Arial" w:cs="Arial"/>
        <w:sz w:val="20"/>
        <w:szCs w:val="22"/>
      </w:rPr>
      <w:t>, 20</w:t>
    </w:r>
    <w:r w:rsidR="000F23D5" w:rsidRPr="000F23D5">
      <w:rPr>
        <w:rStyle w:val="fontstyle01"/>
        <w:rFonts w:ascii="Arial" w:hAnsi="Arial" w:cs="Arial"/>
        <w:sz w:val="20"/>
        <w:szCs w:val="22"/>
      </w:rPr>
      <w:t>2</w:t>
    </w:r>
    <w:r w:rsidR="009E7655">
      <w:rPr>
        <w:rStyle w:val="fontstyle01"/>
        <w:rFonts w:ascii="Arial" w:hAnsi="Arial" w:cs="Arial"/>
        <w:sz w:val="20"/>
        <w:szCs w:val="22"/>
      </w:rPr>
      <w:t>5</w:t>
    </w:r>
    <w:r w:rsidRPr="000F23D5">
      <w:rPr>
        <w:rStyle w:val="fontstyle01"/>
        <w:rFonts w:ascii="Arial" w:hAnsi="Arial" w:cs="Arial"/>
        <w:sz w:val="20"/>
        <w:szCs w:val="22"/>
      </w:rPr>
      <w:t>, pp. 01-</w:t>
    </w:r>
    <w:r w:rsidR="00BB2632">
      <w:rPr>
        <w:rStyle w:val="fontstyle01"/>
        <w:rFonts w:ascii="Arial" w:hAnsi="Arial" w:cs="Arial"/>
        <w:sz w:val="20"/>
        <w:szCs w:val="22"/>
      </w:rPr>
      <w:t>19</w:t>
    </w:r>
    <w:r w:rsidRPr="000F23D5">
      <w:rPr>
        <w:rStyle w:val="fontstyle01"/>
        <w:rFonts w:ascii="Arial" w:hAnsi="Arial" w:cs="Arial"/>
        <w:sz w:val="20"/>
        <w:szCs w:val="22"/>
      </w:rPr>
      <w:t xml:space="preserve"> ISSN: 2527-2349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3AFC2" w14:textId="77777777" w:rsidR="000510F1" w:rsidRDefault="000510F1" w:rsidP="009B06D8">
      <w:pPr>
        <w:spacing w:after="0" w:line="240" w:lineRule="auto"/>
      </w:pPr>
      <w:r>
        <w:separator/>
      </w:r>
    </w:p>
  </w:footnote>
  <w:footnote w:type="continuationSeparator" w:id="0">
    <w:p w14:paraId="5DD7584C" w14:textId="77777777" w:rsidR="000510F1" w:rsidRDefault="000510F1" w:rsidP="009B06D8">
      <w:pPr>
        <w:spacing w:after="0" w:line="240" w:lineRule="auto"/>
      </w:pPr>
      <w:r>
        <w:continuationSeparator/>
      </w:r>
    </w:p>
  </w:footnote>
  <w:footnote w:id="1">
    <w:p w14:paraId="760440D8" w14:textId="6607209B" w:rsidR="008F7D31" w:rsidRPr="00BF01A6" w:rsidRDefault="008F7D31" w:rsidP="008F7D31">
      <w:pPr>
        <w:spacing w:after="0"/>
        <w:jc w:val="both"/>
        <w:rPr>
          <w:rFonts w:ascii="Arial" w:hAnsi="Arial" w:cs="Arial"/>
          <w:color w:val="0070C0"/>
          <w:sz w:val="20"/>
          <w:szCs w:val="20"/>
        </w:rPr>
      </w:pPr>
      <w:r w:rsidRPr="00BF01A6">
        <w:rPr>
          <w:rStyle w:val="Refdenotaderodap"/>
          <w:rFonts w:ascii="Arial" w:hAnsi="Arial" w:cs="Arial"/>
          <w:sz w:val="20"/>
          <w:szCs w:val="20"/>
        </w:rPr>
        <w:footnoteRef/>
      </w:r>
      <w:r w:rsidRPr="00BF01A6">
        <w:rPr>
          <w:rFonts w:ascii="Arial" w:hAnsi="Arial" w:cs="Arial"/>
          <w:sz w:val="20"/>
          <w:szCs w:val="20"/>
        </w:rPr>
        <w:t xml:space="preserve"> </w:t>
      </w:r>
      <w:r>
        <w:rPr>
          <w:rFonts w:ascii="Arial" w:hAnsi="Arial" w:cs="Arial"/>
          <w:sz w:val="20"/>
          <w:szCs w:val="20"/>
        </w:rPr>
        <w:t>Graduada</w:t>
      </w:r>
      <w:r w:rsidRPr="00BF01A6">
        <w:rPr>
          <w:rFonts w:ascii="Arial" w:hAnsi="Arial" w:cs="Arial"/>
          <w:sz w:val="20"/>
          <w:szCs w:val="20"/>
        </w:rPr>
        <w:t xml:space="preserve"> em Direito pela Universidade Luterana do Brasil</w:t>
      </w:r>
      <w:r>
        <w:rPr>
          <w:rFonts w:ascii="Arial" w:hAnsi="Arial" w:cs="Arial"/>
          <w:sz w:val="20"/>
          <w:szCs w:val="20"/>
        </w:rPr>
        <w:t>,</w:t>
      </w:r>
      <w:r w:rsidRPr="00BF01A6">
        <w:rPr>
          <w:rFonts w:ascii="Arial" w:hAnsi="Arial" w:cs="Arial"/>
          <w:sz w:val="20"/>
          <w:szCs w:val="20"/>
        </w:rPr>
        <w:t xml:space="preserve"> Especialista em Política e Gestão em Segurança Pública e </w:t>
      </w:r>
      <w:r w:rsidR="0077670B">
        <w:rPr>
          <w:rFonts w:ascii="Arial" w:hAnsi="Arial" w:cs="Arial"/>
          <w:sz w:val="20"/>
          <w:szCs w:val="20"/>
        </w:rPr>
        <w:t>M</w:t>
      </w:r>
      <w:r w:rsidRPr="00BF01A6">
        <w:rPr>
          <w:rFonts w:ascii="Arial" w:hAnsi="Arial" w:cs="Arial"/>
          <w:sz w:val="20"/>
          <w:szCs w:val="20"/>
        </w:rPr>
        <w:t xml:space="preserve">estranda no Programa de Pós-Graduação em Segurança Pública, Cidadania e Direitos Humanos na Universidade </w:t>
      </w:r>
      <w:r w:rsidR="005C5BA0">
        <w:rPr>
          <w:rFonts w:ascii="Arial" w:hAnsi="Arial" w:cs="Arial"/>
          <w:sz w:val="20"/>
          <w:szCs w:val="20"/>
        </w:rPr>
        <w:t xml:space="preserve">do Estado </w:t>
      </w:r>
      <w:r w:rsidRPr="00BF01A6">
        <w:rPr>
          <w:rFonts w:ascii="Arial" w:hAnsi="Arial" w:cs="Arial"/>
          <w:sz w:val="20"/>
          <w:szCs w:val="20"/>
        </w:rPr>
        <w:t xml:space="preserve">do Amazonas (UEA). E-mail: </w:t>
      </w:r>
      <w:hyperlink r:id="rId1" w:history="1">
        <w:r w:rsidR="00E316AC" w:rsidRPr="00E155AE">
          <w:rPr>
            <w:rStyle w:val="Hyperlink"/>
            <w:rFonts w:ascii="Arial" w:hAnsi="Arial" w:cs="Arial"/>
            <w:sz w:val="20"/>
            <w:szCs w:val="20"/>
          </w:rPr>
          <w:t>janajbm@gmail.com</w:t>
        </w:r>
      </w:hyperlink>
      <w:r w:rsidR="00E316AC">
        <w:rPr>
          <w:rFonts w:ascii="Arial" w:hAnsi="Arial" w:cs="Arial"/>
          <w:sz w:val="20"/>
          <w:szCs w:val="20"/>
        </w:rPr>
        <w:t xml:space="preserve"> </w:t>
      </w:r>
      <w:r w:rsidRPr="00BF01A6">
        <w:rPr>
          <w:rFonts w:ascii="Arial" w:hAnsi="Arial" w:cs="Arial"/>
          <w:sz w:val="20"/>
          <w:szCs w:val="20"/>
        </w:rPr>
        <w:t xml:space="preserve"> </w:t>
      </w:r>
    </w:p>
  </w:footnote>
  <w:footnote w:id="2">
    <w:p w14:paraId="1C38A677" w14:textId="20175DA1" w:rsidR="008F7D31" w:rsidRPr="00BF01A6" w:rsidRDefault="008F7D31" w:rsidP="008F7D31">
      <w:pPr>
        <w:spacing w:after="0"/>
        <w:jc w:val="both"/>
        <w:rPr>
          <w:rFonts w:ascii="Arial" w:hAnsi="Arial" w:cs="Arial"/>
          <w:color w:val="0070C0"/>
          <w:sz w:val="20"/>
          <w:szCs w:val="20"/>
        </w:rPr>
      </w:pPr>
      <w:r w:rsidRPr="00BF01A6">
        <w:rPr>
          <w:rStyle w:val="Refdenotaderodap"/>
          <w:rFonts w:ascii="Arial" w:hAnsi="Arial" w:cs="Arial"/>
          <w:sz w:val="20"/>
          <w:szCs w:val="20"/>
        </w:rPr>
        <w:footnoteRef/>
      </w:r>
      <w:r w:rsidRPr="00BF01A6">
        <w:rPr>
          <w:rFonts w:ascii="Arial" w:hAnsi="Arial" w:cs="Arial"/>
          <w:sz w:val="20"/>
          <w:szCs w:val="20"/>
        </w:rPr>
        <w:t xml:space="preserve"> </w:t>
      </w:r>
      <w:r>
        <w:rPr>
          <w:rFonts w:ascii="Arial" w:hAnsi="Arial" w:cs="Arial"/>
          <w:sz w:val="20"/>
          <w:szCs w:val="20"/>
        </w:rPr>
        <w:t>Graduado</w:t>
      </w:r>
      <w:r w:rsidRPr="00BF01A6">
        <w:rPr>
          <w:rFonts w:ascii="Arial" w:hAnsi="Arial" w:cs="Arial"/>
          <w:sz w:val="20"/>
          <w:szCs w:val="20"/>
        </w:rPr>
        <w:t xml:space="preserve"> em Ciências de Defesa Social e Cidadania pelo Instituto de Ensino de Segurança do Pará</w:t>
      </w:r>
      <w:r>
        <w:rPr>
          <w:rFonts w:ascii="Arial" w:hAnsi="Arial" w:cs="Arial"/>
          <w:sz w:val="20"/>
          <w:szCs w:val="20"/>
        </w:rPr>
        <w:t xml:space="preserve"> e m</w:t>
      </w:r>
      <w:r w:rsidRPr="00BF01A6">
        <w:rPr>
          <w:rFonts w:ascii="Arial" w:hAnsi="Arial" w:cs="Arial"/>
          <w:sz w:val="20"/>
          <w:szCs w:val="20"/>
        </w:rPr>
        <w:t xml:space="preserve">estrando no Programa de Pós-Graduação em Segurança Pública, Cidadania e Direitos Humanos na Universidade </w:t>
      </w:r>
      <w:r w:rsidR="000A77FD">
        <w:rPr>
          <w:rFonts w:ascii="Arial" w:hAnsi="Arial" w:cs="Arial"/>
          <w:sz w:val="20"/>
          <w:szCs w:val="20"/>
        </w:rPr>
        <w:t>do Estado</w:t>
      </w:r>
      <w:r w:rsidRPr="00BF01A6">
        <w:rPr>
          <w:rFonts w:ascii="Arial" w:hAnsi="Arial" w:cs="Arial"/>
          <w:sz w:val="20"/>
          <w:szCs w:val="20"/>
        </w:rPr>
        <w:t xml:space="preserve"> do Amazonas (UEA). E-mail: </w:t>
      </w:r>
      <w:hyperlink r:id="rId2" w:history="1">
        <w:r w:rsidR="00E316AC" w:rsidRPr="00E155AE">
          <w:rPr>
            <w:rStyle w:val="Hyperlink"/>
            <w:rFonts w:ascii="Arial" w:hAnsi="Arial" w:cs="Arial"/>
            <w:sz w:val="20"/>
            <w:szCs w:val="20"/>
          </w:rPr>
          <w:t>mvoa10@gmail.com</w:t>
        </w:r>
      </w:hyperlink>
      <w:r w:rsidR="00E316AC">
        <w:rPr>
          <w:rFonts w:ascii="Arial" w:hAnsi="Arial" w:cs="Arial"/>
          <w:sz w:val="20"/>
          <w:szCs w:val="20"/>
        </w:rPr>
        <w:t xml:space="preserve"> </w:t>
      </w:r>
    </w:p>
  </w:footnote>
  <w:footnote w:id="3">
    <w:p w14:paraId="4456F0C8" w14:textId="3B268234" w:rsidR="008F7D31" w:rsidRPr="00BF01A6" w:rsidRDefault="008F7D31" w:rsidP="008F7D31">
      <w:pPr>
        <w:spacing w:after="0"/>
        <w:jc w:val="both"/>
        <w:rPr>
          <w:rFonts w:ascii="Arial" w:hAnsi="Arial" w:cs="Arial"/>
          <w:color w:val="0070C0"/>
          <w:sz w:val="20"/>
          <w:szCs w:val="20"/>
        </w:rPr>
      </w:pPr>
      <w:r w:rsidRPr="00BF01A6">
        <w:rPr>
          <w:rStyle w:val="Refdenotaderodap"/>
          <w:rFonts w:ascii="Arial" w:hAnsi="Arial" w:cs="Arial"/>
          <w:sz w:val="20"/>
          <w:szCs w:val="20"/>
        </w:rPr>
        <w:footnoteRef/>
      </w:r>
      <w:r>
        <w:rPr>
          <w:rFonts w:ascii="Arial" w:hAnsi="Arial" w:cs="Arial"/>
          <w:sz w:val="20"/>
          <w:szCs w:val="20"/>
        </w:rPr>
        <w:t xml:space="preserve"> </w:t>
      </w:r>
      <w:r w:rsidRPr="00BF01A6">
        <w:rPr>
          <w:rFonts w:ascii="Arial" w:hAnsi="Arial" w:cs="Arial"/>
          <w:sz w:val="20"/>
          <w:szCs w:val="20"/>
        </w:rPr>
        <w:t>Doutor em Ciência</w:t>
      </w:r>
      <w:r>
        <w:rPr>
          <w:rFonts w:ascii="Arial" w:hAnsi="Arial" w:cs="Arial"/>
          <w:sz w:val="20"/>
          <w:szCs w:val="20"/>
        </w:rPr>
        <w:t xml:space="preserve">s e </w:t>
      </w:r>
      <w:r w:rsidR="005C5BA0">
        <w:rPr>
          <w:rFonts w:ascii="Arial" w:hAnsi="Arial" w:cs="Arial"/>
          <w:sz w:val="20"/>
          <w:szCs w:val="20"/>
        </w:rPr>
        <w:t>M</w:t>
      </w:r>
      <w:r w:rsidRPr="00BF01A6">
        <w:rPr>
          <w:rFonts w:ascii="Arial" w:hAnsi="Arial" w:cs="Arial"/>
          <w:sz w:val="20"/>
          <w:szCs w:val="20"/>
        </w:rPr>
        <w:t>estre em Defesa Social e Mediação de Conflitos</w:t>
      </w:r>
      <w:r w:rsidR="005C5BA0">
        <w:rPr>
          <w:rFonts w:ascii="Arial" w:hAnsi="Arial" w:cs="Arial"/>
          <w:sz w:val="20"/>
          <w:szCs w:val="20"/>
        </w:rPr>
        <w:t xml:space="preserve"> pela Universidade Federal</w:t>
      </w:r>
      <w:r w:rsidR="00C402D2">
        <w:rPr>
          <w:rFonts w:ascii="Arial" w:hAnsi="Arial" w:cs="Arial"/>
          <w:sz w:val="20"/>
          <w:szCs w:val="20"/>
        </w:rPr>
        <w:t xml:space="preserve"> do Pará</w:t>
      </w:r>
      <w:r w:rsidR="0077670B">
        <w:rPr>
          <w:rFonts w:ascii="Arial" w:hAnsi="Arial" w:cs="Arial"/>
          <w:sz w:val="20"/>
          <w:szCs w:val="20"/>
        </w:rPr>
        <w:t xml:space="preserve"> (UFPA)</w:t>
      </w:r>
      <w:r>
        <w:rPr>
          <w:rFonts w:ascii="Arial" w:hAnsi="Arial" w:cs="Arial"/>
          <w:sz w:val="20"/>
          <w:szCs w:val="20"/>
        </w:rPr>
        <w:t xml:space="preserve">. </w:t>
      </w:r>
      <w:r w:rsidRPr="00BF01A6">
        <w:rPr>
          <w:rFonts w:ascii="Arial" w:hAnsi="Arial" w:cs="Arial"/>
          <w:sz w:val="20"/>
          <w:szCs w:val="20"/>
        </w:rPr>
        <w:t xml:space="preserve">E-mail: </w:t>
      </w:r>
      <w:hyperlink r:id="rId3" w:history="1">
        <w:r w:rsidR="00E316AC" w:rsidRPr="00E155AE">
          <w:rPr>
            <w:rStyle w:val="Hyperlink"/>
            <w:rFonts w:ascii="Arial" w:hAnsi="Arial" w:cs="Arial"/>
            <w:sz w:val="20"/>
            <w:szCs w:val="20"/>
          </w:rPr>
          <w:t>mello.cesar@gmail.com</w:t>
        </w:r>
      </w:hyperlink>
      <w:r w:rsidR="00E316AC">
        <w:rPr>
          <w:rFonts w:ascii="Arial" w:hAnsi="Arial" w:cs="Arial"/>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AFC1" w14:textId="1C252B69" w:rsidR="00BC5C86" w:rsidRDefault="008F7D31" w:rsidP="009E7072">
    <w:pPr>
      <w:pStyle w:val="Cabealho"/>
      <w:jc w:val="center"/>
    </w:pPr>
    <w:r w:rsidRPr="008F7D31">
      <w:rPr>
        <w:rFonts w:ascii="Arial" w:hAnsi="Arial" w:cs="Arial"/>
        <w:b/>
        <w:bCs/>
        <w:i/>
        <w:iCs/>
      </w:rPr>
      <w:t>MONITORAÇÃO ELETRÔNICA NO AMAZONAS: UM PANORAMA ATUAL DOS DESAFIOS, LIMITES E POSSIBILIDADES NA ADMINISTRAÇÃO PENITENCIÁRIA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56"/>
    <w:rsid w:val="00000972"/>
    <w:rsid w:val="000011CF"/>
    <w:rsid w:val="00006838"/>
    <w:rsid w:val="00006DEA"/>
    <w:rsid w:val="00007D69"/>
    <w:rsid w:val="00010FE8"/>
    <w:rsid w:val="00011271"/>
    <w:rsid w:val="00013DC5"/>
    <w:rsid w:val="0001669B"/>
    <w:rsid w:val="0002010F"/>
    <w:rsid w:val="00020233"/>
    <w:rsid w:val="000269EF"/>
    <w:rsid w:val="000279E2"/>
    <w:rsid w:val="000307AF"/>
    <w:rsid w:val="00032542"/>
    <w:rsid w:val="00040184"/>
    <w:rsid w:val="000510F1"/>
    <w:rsid w:val="000513FA"/>
    <w:rsid w:val="00052443"/>
    <w:rsid w:val="000527B0"/>
    <w:rsid w:val="00055BFB"/>
    <w:rsid w:val="00061C9C"/>
    <w:rsid w:val="00061FEB"/>
    <w:rsid w:val="00064343"/>
    <w:rsid w:val="0006491A"/>
    <w:rsid w:val="00067DD0"/>
    <w:rsid w:val="000743F7"/>
    <w:rsid w:val="00076ABD"/>
    <w:rsid w:val="000821B4"/>
    <w:rsid w:val="000839FE"/>
    <w:rsid w:val="00083C8F"/>
    <w:rsid w:val="000921FD"/>
    <w:rsid w:val="0009254D"/>
    <w:rsid w:val="000925AC"/>
    <w:rsid w:val="0009282B"/>
    <w:rsid w:val="00094291"/>
    <w:rsid w:val="00094EC5"/>
    <w:rsid w:val="000A08A7"/>
    <w:rsid w:val="000A13D5"/>
    <w:rsid w:val="000A77FD"/>
    <w:rsid w:val="000B05A4"/>
    <w:rsid w:val="000B0794"/>
    <w:rsid w:val="000B3DE8"/>
    <w:rsid w:val="000B5869"/>
    <w:rsid w:val="000B6398"/>
    <w:rsid w:val="000B7AD6"/>
    <w:rsid w:val="000C2054"/>
    <w:rsid w:val="000C6BC3"/>
    <w:rsid w:val="000C7135"/>
    <w:rsid w:val="000D0948"/>
    <w:rsid w:val="000D1969"/>
    <w:rsid w:val="000D2652"/>
    <w:rsid w:val="000D2FBA"/>
    <w:rsid w:val="000D547A"/>
    <w:rsid w:val="000D5F45"/>
    <w:rsid w:val="000E6BD6"/>
    <w:rsid w:val="000F1944"/>
    <w:rsid w:val="000F23D5"/>
    <w:rsid w:val="000F7303"/>
    <w:rsid w:val="000F79E3"/>
    <w:rsid w:val="00101E1E"/>
    <w:rsid w:val="00111CB1"/>
    <w:rsid w:val="00111EAA"/>
    <w:rsid w:val="001124C3"/>
    <w:rsid w:val="001133DE"/>
    <w:rsid w:val="00113AA4"/>
    <w:rsid w:val="00117650"/>
    <w:rsid w:val="00122268"/>
    <w:rsid w:val="00135175"/>
    <w:rsid w:val="00135293"/>
    <w:rsid w:val="001422D7"/>
    <w:rsid w:val="001446DB"/>
    <w:rsid w:val="0014521A"/>
    <w:rsid w:val="001465AE"/>
    <w:rsid w:val="00154D7C"/>
    <w:rsid w:val="001578CD"/>
    <w:rsid w:val="00157C43"/>
    <w:rsid w:val="00162149"/>
    <w:rsid w:val="001627E1"/>
    <w:rsid w:val="001644EF"/>
    <w:rsid w:val="00173341"/>
    <w:rsid w:val="001740E6"/>
    <w:rsid w:val="001775EC"/>
    <w:rsid w:val="001777B7"/>
    <w:rsid w:val="001779EB"/>
    <w:rsid w:val="001804DA"/>
    <w:rsid w:val="00187AF6"/>
    <w:rsid w:val="00192217"/>
    <w:rsid w:val="001933B6"/>
    <w:rsid w:val="00193E60"/>
    <w:rsid w:val="001A12BC"/>
    <w:rsid w:val="001A2938"/>
    <w:rsid w:val="001A3BDC"/>
    <w:rsid w:val="001A6AC6"/>
    <w:rsid w:val="001A7EAE"/>
    <w:rsid w:val="001B3146"/>
    <w:rsid w:val="001C008E"/>
    <w:rsid w:val="001C3145"/>
    <w:rsid w:val="001C62FB"/>
    <w:rsid w:val="001D1F78"/>
    <w:rsid w:val="001D260F"/>
    <w:rsid w:val="001D3427"/>
    <w:rsid w:val="001D40DB"/>
    <w:rsid w:val="001D47D4"/>
    <w:rsid w:val="001D5D3D"/>
    <w:rsid w:val="001E05AD"/>
    <w:rsid w:val="001E08EC"/>
    <w:rsid w:val="001E409E"/>
    <w:rsid w:val="001E5B86"/>
    <w:rsid w:val="001F015F"/>
    <w:rsid w:val="001F48EB"/>
    <w:rsid w:val="001F4947"/>
    <w:rsid w:val="001F71AC"/>
    <w:rsid w:val="001F7997"/>
    <w:rsid w:val="002039D5"/>
    <w:rsid w:val="00206846"/>
    <w:rsid w:val="00221159"/>
    <w:rsid w:val="002215A9"/>
    <w:rsid w:val="00221A50"/>
    <w:rsid w:val="00222CB1"/>
    <w:rsid w:val="0022390C"/>
    <w:rsid w:val="002248B3"/>
    <w:rsid w:val="00226879"/>
    <w:rsid w:val="0023187A"/>
    <w:rsid w:val="00233A59"/>
    <w:rsid w:val="00237623"/>
    <w:rsid w:val="00237898"/>
    <w:rsid w:val="00240024"/>
    <w:rsid w:val="00240C1A"/>
    <w:rsid w:val="002429FD"/>
    <w:rsid w:val="00254009"/>
    <w:rsid w:val="00256AF4"/>
    <w:rsid w:val="00263AA7"/>
    <w:rsid w:val="00267990"/>
    <w:rsid w:val="00267EB3"/>
    <w:rsid w:val="002703A7"/>
    <w:rsid w:val="002723C7"/>
    <w:rsid w:val="002748F4"/>
    <w:rsid w:val="00280079"/>
    <w:rsid w:val="00287476"/>
    <w:rsid w:val="00291077"/>
    <w:rsid w:val="0029163D"/>
    <w:rsid w:val="002926AB"/>
    <w:rsid w:val="00295319"/>
    <w:rsid w:val="0029720E"/>
    <w:rsid w:val="002979CA"/>
    <w:rsid w:val="002A282F"/>
    <w:rsid w:val="002A2B8B"/>
    <w:rsid w:val="002A4EA0"/>
    <w:rsid w:val="002B4610"/>
    <w:rsid w:val="002B62BA"/>
    <w:rsid w:val="002C182E"/>
    <w:rsid w:val="002C313F"/>
    <w:rsid w:val="002C45E5"/>
    <w:rsid w:val="002C5D13"/>
    <w:rsid w:val="002C62C8"/>
    <w:rsid w:val="002C62D9"/>
    <w:rsid w:val="002C756E"/>
    <w:rsid w:val="002D5AA7"/>
    <w:rsid w:val="002E41B0"/>
    <w:rsid w:val="002E50E4"/>
    <w:rsid w:val="002E52FD"/>
    <w:rsid w:val="002F2CBF"/>
    <w:rsid w:val="002F37B0"/>
    <w:rsid w:val="00302A76"/>
    <w:rsid w:val="00303005"/>
    <w:rsid w:val="003140AA"/>
    <w:rsid w:val="0032173F"/>
    <w:rsid w:val="00333614"/>
    <w:rsid w:val="0033435C"/>
    <w:rsid w:val="00336E69"/>
    <w:rsid w:val="0034265C"/>
    <w:rsid w:val="00345622"/>
    <w:rsid w:val="00346CCC"/>
    <w:rsid w:val="0036193A"/>
    <w:rsid w:val="00362311"/>
    <w:rsid w:val="00362F0F"/>
    <w:rsid w:val="003631F8"/>
    <w:rsid w:val="00363AF6"/>
    <w:rsid w:val="003670A9"/>
    <w:rsid w:val="0036745A"/>
    <w:rsid w:val="00384D1B"/>
    <w:rsid w:val="00386DCA"/>
    <w:rsid w:val="00390A81"/>
    <w:rsid w:val="00391581"/>
    <w:rsid w:val="00392D72"/>
    <w:rsid w:val="00393724"/>
    <w:rsid w:val="003939FA"/>
    <w:rsid w:val="00395FEE"/>
    <w:rsid w:val="00397D6F"/>
    <w:rsid w:val="003A0C99"/>
    <w:rsid w:val="003A5D18"/>
    <w:rsid w:val="003A61CE"/>
    <w:rsid w:val="003A6365"/>
    <w:rsid w:val="003B62F7"/>
    <w:rsid w:val="003B7AD1"/>
    <w:rsid w:val="003C74AC"/>
    <w:rsid w:val="003C7EBE"/>
    <w:rsid w:val="003D0BE7"/>
    <w:rsid w:val="003D77C7"/>
    <w:rsid w:val="003E07E2"/>
    <w:rsid w:val="003E18D3"/>
    <w:rsid w:val="003E37ED"/>
    <w:rsid w:val="003E7637"/>
    <w:rsid w:val="003F700A"/>
    <w:rsid w:val="00400C10"/>
    <w:rsid w:val="00402D1C"/>
    <w:rsid w:val="00403030"/>
    <w:rsid w:val="00403119"/>
    <w:rsid w:val="00410BC7"/>
    <w:rsid w:val="004118E8"/>
    <w:rsid w:val="00416691"/>
    <w:rsid w:val="00421D0F"/>
    <w:rsid w:val="0042591E"/>
    <w:rsid w:val="00427083"/>
    <w:rsid w:val="00430A51"/>
    <w:rsid w:val="00432360"/>
    <w:rsid w:val="0043483B"/>
    <w:rsid w:val="00437093"/>
    <w:rsid w:val="004427D5"/>
    <w:rsid w:val="00442C59"/>
    <w:rsid w:val="004651FB"/>
    <w:rsid w:val="0046524E"/>
    <w:rsid w:val="00470544"/>
    <w:rsid w:val="004709A2"/>
    <w:rsid w:val="004774BD"/>
    <w:rsid w:val="0049149C"/>
    <w:rsid w:val="00494473"/>
    <w:rsid w:val="00496D51"/>
    <w:rsid w:val="00497734"/>
    <w:rsid w:val="004A1C72"/>
    <w:rsid w:val="004A2421"/>
    <w:rsid w:val="004A3D3F"/>
    <w:rsid w:val="004B44D6"/>
    <w:rsid w:val="004B53D8"/>
    <w:rsid w:val="004C2429"/>
    <w:rsid w:val="004C50B1"/>
    <w:rsid w:val="004C5920"/>
    <w:rsid w:val="004C7F5F"/>
    <w:rsid w:val="004D4EFD"/>
    <w:rsid w:val="004D60C8"/>
    <w:rsid w:val="004E2151"/>
    <w:rsid w:val="004F3855"/>
    <w:rsid w:val="004F3C1A"/>
    <w:rsid w:val="004F5D1D"/>
    <w:rsid w:val="004F6C22"/>
    <w:rsid w:val="004F7D94"/>
    <w:rsid w:val="00502052"/>
    <w:rsid w:val="00504331"/>
    <w:rsid w:val="005051FC"/>
    <w:rsid w:val="00506D7C"/>
    <w:rsid w:val="00510B6E"/>
    <w:rsid w:val="00514150"/>
    <w:rsid w:val="0051650F"/>
    <w:rsid w:val="00520771"/>
    <w:rsid w:val="005336D5"/>
    <w:rsid w:val="00536AD6"/>
    <w:rsid w:val="0054153F"/>
    <w:rsid w:val="00542D8E"/>
    <w:rsid w:val="00544914"/>
    <w:rsid w:val="0054504E"/>
    <w:rsid w:val="005477D1"/>
    <w:rsid w:val="00550733"/>
    <w:rsid w:val="0055629D"/>
    <w:rsid w:val="00566E9A"/>
    <w:rsid w:val="0057097D"/>
    <w:rsid w:val="00571B20"/>
    <w:rsid w:val="00573E19"/>
    <w:rsid w:val="005807BF"/>
    <w:rsid w:val="00585A9E"/>
    <w:rsid w:val="00586198"/>
    <w:rsid w:val="005869E5"/>
    <w:rsid w:val="0059050A"/>
    <w:rsid w:val="00593DA8"/>
    <w:rsid w:val="0059528E"/>
    <w:rsid w:val="005972EA"/>
    <w:rsid w:val="005A417F"/>
    <w:rsid w:val="005A5AE8"/>
    <w:rsid w:val="005B0A06"/>
    <w:rsid w:val="005B6B6A"/>
    <w:rsid w:val="005B6B8A"/>
    <w:rsid w:val="005C40EA"/>
    <w:rsid w:val="005C5BA0"/>
    <w:rsid w:val="005C7368"/>
    <w:rsid w:val="005C74B9"/>
    <w:rsid w:val="005C7768"/>
    <w:rsid w:val="005D0363"/>
    <w:rsid w:val="005D3DDF"/>
    <w:rsid w:val="005D4C86"/>
    <w:rsid w:val="005E1ABC"/>
    <w:rsid w:val="005E355F"/>
    <w:rsid w:val="005E59C8"/>
    <w:rsid w:val="005E5CD2"/>
    <w:rsid w:val="005E779B"/>
    <w:rsid w:val="005F198D"/>
    <w:rsid w:val="005F3E0F"/>
    <w:rsid w:val="005F48C8"/>
    <w:rsid w:val="005F6876"/>
    <w:rsid w:val="005F731B"/>
    <w:rsid w:val="00600269"/>
    <w:rsid w:val="00602FAD"/>
    <w:rsid w:val="0061332C"/>
    <w:rsid w:val="00614A71"/>
    <w:rsid w:val="00614C89"/>
    <w:rsid w:val="00624369"/>
    <w:rsid w:val="00624AC0"/>
    <w:rsid w:val="006250E4"/>
    <w:rsid w:val="00630C35"/>
    <w:rsid w:val="0063134B"/>
    <w:rsid w:val="0063342C"/>
    <w:rsid w:val="00634D2A"/>
    <w:rsid w:val="00635730"/>
    <w:rsid w:val="00637D22"/>
    <w:rsid w:val="00642445"/>
    <w:rsid w:val="00645F44"/>
    <w:rsid w:val="0064709A"/>
    <w:rsid w:val="0065036C"/>
    <w:rsid w:val="00651B9A"/>
    <w:rsid w:val="00652CB2"/>
    <w:rsid w:val="00654F0C"/>
    <w:rsid w:val="006578F2"/>
    <w:rsid w:val="00661E9C"/>
    <w:rsid w:val="00662E33"/>
    <w:rsid w:val="0067013D"/>
    <w:rsid w:val="00673C36"/>
    <w:rsid w:val="006740C1"/>
    <w:rsid w:val="00677B85"/>
    <w:rsid w:val="00682C9E"/>
    <w:rsid w:val="0068387F"/>
    <w:rsid w:val="00684E3B"/>
    <w:rsid w:val="00691353"/>
    <w:rsid w:val="00694FE3"/>
    <w:rsid w:val="006A3200"/>
    <w:rsid w:val="006A420D"/>
    <w:rsid w:val="006B15B2"/>
    <w:rsid w:val="006B3BA0"/>
    <w:rsid w:val="006B4714"/>
    <w:rsid w:val="006B7013"/>
    <w:rsid w:val="006C328B"/>
    <w:rsid w:val="006C36E7"/>
    <w:rsid w:val="006C3893"/>
    <w:rsid w:val="006D03FD"/>
    <w:rsid w:val="006D3100"/>
    <w:rsid w:val="006E17B4"/>
    <w:rsid w:val="006E4336"/>
    <w:rsid w:val="006E7BF9"/>
    <w:rsid w:val="006F0866"/>
    <w:rsid w:val="006F2B56"/>
    <w:rsid w:val="006F727C"/>
    <w:rsid w:val="007015D0"/>
    <w:rsid w:val="00710395"/>
    <w:rsid w:val="00710AD3"/>
    <w:rsid w:val="00721341"/>
    <w:rsid w:val="00722769"/>
    <w:rsid w:val="007370D3"/>
    <w:rsid w:val="00737A95"/>
    <w:rsid w:val="00737CD1"/>
    <w:rsid w:val="0074258A"/>
    <w:rsid w:val="007444C6"/>
    <w:rsid w:val="007450EB"/>
    <w:rsid w:val="00745875"/>
    <w:rsid w:val="0074754D"/>
    <w:rsid w:val="00755E3D"/>
    <w:rsid w:val="0075660A"/>
    <w:rsid w:val="00762E75"/>
    <w:rsid w:val="00762F0A"/>
    <w:rsid w:val="007653F5"/>
    <w:rsid w:val="00765A64"/>
    <w:rsid w:val="00765FA3"/>
    <w:rsid w:val="00770EAD"/>
    <w:rsid w:val="00773461"/>
    <w:rsid w:val="0077670B"/>
    <w:rsid w:val="0078383F"/>
    <w:rsid w:val="0078663A"/>
    <w:rsid w:val="00786EBB"/>
    <w:rsid w:val="00787CFE"/>
    <w:rsid w:val="00790199"/>
    <w:rsid w:val="00792203"/>
    <w:rsid w:val="00792D00"/>
    <w:rsid w:val="00795609"/>
    <w:rsid w:val="007A4885"/>
    <w:rsid w:val="007A528F"/>
    <w:rsid w:val="007B0C1D"/>
    <w:rsid w:val="007B6A35"/>
    <w:rsid w:val="007C1BA3"/>
    <w:rsid w:val="007C2F44"/>
    <w:rsid w:val="007C5E67"/>
    <w:rsid w:val="007C649D"/>
    <w:rsid w:val="007D29DA"/>
    <w:rsid w:val="007E59D2"/>
    <w:rsid w:val="007E7813"/>
    <w:rsid w:val="007F2A14"/>
    <w:rsid w:val="007F359B"/>
    <w:rsid w:val="007F5ACF"/>
    <w:rsid w:val="0080299A"/>
    <w:rsid w:val="008036B9"/>
    <w:rsid w:val="00803BC9"/>
    <w:rsid w:val="00804769"/>
    <w:rsid w:val="00804A41"/>
    <w:rsid w:val="00804A8D"/>
    <w:rsid w:val="008077D2"/>
    <w:rsid w:val="00810468"/>
    <w:rsid w:val="008113DC"/>
    <w:rsid w:val="0081153E"/>
    <w:rsid w:val="00812F50"/>
    <w:rsid w:val="0081565E"/>
    <w:rsid w:val="0081684E"/>
    <w:rsid w:val="00816C57"/>
    <w:rsid w:val="00820D62"/>
    <w:rsid w:val="00821F34"/>
    <w:rsid w:val="00823BB8"/>
    <w:rsid w:val="00831A4C"/>
    <w:rsid w:val="00836E2D"/>
    <w:rsid w:val="0084603D"/>
    <w:rsid w:val="0084735F"/>
    <w:rsid w:val="008475D8"/>
    <w:rsid w:val="0084765C"/>
    <w:rsid w:val="008517F4"/>
    <w:rsid w:val="008520C9"/>
    <w:rsid w:val="008565C3"/>
    <w:rsid w:val="00861F93"/>
    <w:rsid w:val="008625C5"/>
    <w:rsid w:val="00863D62"/>
    <w:rsid w:val="00885066"/>
    <w:rsid w:val="00885E98"/>
    <w:rsid w:val="00887DC2"/>
    <w:rsid w:val="0089290E"/>
    <w:rsid w:val="008970DE"/>
    <w:rsid w:val="008A10A6"/>
    <w:rsid w:val="008A2287"/>
    <w:rsid w:val="008A356D"/>
    <w:rsid w:val="008A59CB"/>
    <w:rsid w:val="008A5A7F"/>
    <w:rsid w:val="008B31A1"/>
    <w:rsid w:val="008C3071"/>
    <w:rsid w:val="008C6E75"/>
    <w:rsid w:val="008C7DBB"/>
    <w:rsid w:val="008D7D38"/>
    <w:rsid w:val="008E01BB"/>
    <w:rsid w:val="008E29E8"/>
    <w:rsid w:val="008E2A31"/>
    <w:rsid w:val="008E5FFE"/>
    <w:rsid w:val="008E7185"/>
    <w:rsid w:val="008F2578"/>
    <w:rsid w:val="008F3C53"/>
    <w:rsid w:val="008F4F3D"/>
    <w:rsid w:val="008F6284"/>
    <w:rsid w:val="008F7D31"/>
    <w:rsid w:val="009013D3"/>
    <w:rsid w:val="009022B7"/>
    <w:rsid w:val="0090702A"/>
    <w:rsid w:val="009070DD"/>
    <w:rsid w:val="00915193"/>
    <w:rsid w:val="00922296"/>
    <w:rsid w:val="00923AB6"/>
    <w:rsid w:val="00932004"/>
    <w:rsid w:val="009360AA"/>
    <w:rsid w:val="0093658F"/>
    <w:rsid w:val="0093719B"/>
    <w:rsid w:val="009449AB"/>
    <w:rsid w:val="00945942"/>
    <w:rsid w:val="0095075A"/>
    <w:rsid w:val="009511C0"/>
    <w:rsid w:val="00953C5A"/>
    <w:rsid w:val="00954D67"/>
    <w:rsid w:val="00965A8F"/>
    <w:rsid w:val="0097069E"/>
    <w:rsid w:val="009708F1"/>
    <w:rsid w:val="00971ED9"/>
    <w:rsid w:val="00974FC5"/>
    <w:rsid w:val="00981D36"/>
    <w:rsid w:val="00986C9C"/>
    <w:rsid w:val="00990478"/>
    <w:rsid w:val="00993CF7"/>
    <w:rsid w:val="00993F3C"/>
    <w:rsid w:val="0099511A"/>
    <w:rsid w:val="009A3328"/>
    <w:rsid w:val="009A7E6E"/>
    <w:rsid w:val="009B06D8"/>
    <w:rsid w:val="009B22AB"/>
    <w:rsid w:val="009B58E1"/>
    <w:rsid w:val="009B59C5"/>
    <w:rsid w:val="009B7CE0"/>
    <w:rsid w:val="009C08B1"/>
    <w:rsid w:val="009C2A62"/>
    <w:rsid w:val="009C2AF7"/>
    <w:rsid w:val="009D0337"/>
    <w:rsid w:val="009D1672"/>
    <w:rsid w:val="009D2EDC"/>
    <w:rsid w:val="009D432C"/>
    <w:rsid w:val="009D4714"/>
    <w:rsid w:val="009E7072"/>
    <w:rsid w:val="009E7655"/>
    <w:rsid w:val="009F23FA"/>
    <w:rsid w:val="00A02C88"/>
    <w:rsid w:val="00A037C9"/>
    <w:rsid w:val="00A12D67"/>
    <w:rsid w:val="00A12EBF"/>
    <w:rsid w:val="00A1538D"/>
    <w:rsid w:val="00A16768"/>
    <w:rsid w:val="00A21A8B"/>
    <w:rsid w:val="00A238C5"/>
    <w:rsid w:val="00A359BB"/>
    <w:rsid w:val="00A37F46"/>
    <w:rsid w:val="00A40789"/>
    <w:rsid w:val="00A43A83"/>
    <w:rsid w:val="00A445BD"/>
    <w:rsid w:val="00A46442"/>
    <w:rsid w:val="00A50F95"/>
    <w:rsid w:val="00A51BA3"/>
    <w:rsid w:val="00A52D45"/>
    <w:rsid w:val="00A55A02"/>
    <w:rsid w:val="00A55A9C"/>
    <w:rsid w:val="00A63CB9"/>
    <w:rsid w:val="00A63D44"/>
    <w:rsid w:val="00A67B10"/>
    <w:rsid w:val="00A702DA"/>
    <w:rsid w:val="00A7378F"/>
    <w:rsid w:val="00A73FE2"/>
    <w:rsid w:val="00A74FA4"/>
    <w:rsid w:val="00A751B8"/>
    <w:rsid w:val="00A75F14"/>
    <w:rsid w:val="00A81755"/>
    <w:rsid w:val="00A81BFC"/>
    <w:rsid w:val="00A85BC6"/>
    <w:rsid w:val="00A91F57"/>
    <w:rsid w:val="00A93F84"/>
    <w:rsid w:val="00A9477B"/>
    <w:rsid w:val="00A94F9D"/>
    <w:rsid w:val="00A95351"/>
    <w:rsid w:val="00A9556D"/>
    <w:rsid w:val="00AA108E"/>
    <w:rsid w:val="00AA40C8"/>
    <w:rsid w:val="00AA530A"/>
    <w:rsid w:val="00AB4603"/>
    <w:rsid w:val="00AB47CB"/>
    <w:rsid w:val="00AB47DE"/>
    <w:rsid w:val="00AB6E6B"/>
    <w:rsid w:val="00AC44F0"/>
    <w:rsid w:val="00AD3D41"/>
    <w:rsid w:val="00AD6CD9"/>
    <w:rsid w:val="00AE0BBF"/>
    <w:rsid w:val="00AE3DA0"/>
    <w:rsid w:val="00AE46CB"/>
    <w:rsid w:val="00AE652C"/>
    <w:rsid w:val="00AF4503"/>
    <w:rsid w:val="00B008A6"/>
    <w:rsid w:val="00B01EE0"/>
    <w:rsid w:val="00B07B35"/>
    <w:rsid w:val="00B07CCA"/>
    <w:rsid w:val="00B10B94"/>
    <w:rsid w:val="00B10B96"/>
    <w:rsid w:val="00B122E0"/>
    <w:rsid w:val="00B1392F"/>
    <w:rsid w:val="00B13F4F"/>
    <w:rsid w:val="00B17342"/>
    <w:rsid w:val="00B21C42"/>
    <w:rsid w:val="00B2233F"/>
    <w:rsid w:val="00B22915"/>
    <w:rsid w:val="00B24030"/>
    <w:rsid w:val="00B31CAD"/>
    <w:rsid w:val="00B34291"/>
    <w:rsid w:val="00B35BCC"/>
    <w:rsid w:val="00B4590B"/>
    <w:rsid w:val="00B53516"/>
    <w:rsid w:val="00B5794E"/>
    <w:rsid w:val="00B61B5A"/>
    <w:rsid w:val="00B61B96"/>
    <w:rsid w:val="00B61C4B"/>
    <w:rsid w:val="00B6762E"/>
    <w:rsid w:val="00B756EE"/>
    <w:rsid w:val="00B76E28"/>
    <w:rsid w:val="00B84A0B"/>
    <w:rsid w:val="00B84C35"/>
    <w:rsid w:val="00B84FE1"/>
    <w:rsid w:val="00B86E24"/>
    <w:rsid w:val="00B86F6D"/>
    <w:rsid w:val="00B91A53"/>
    <w:rsid w:val="00B91C52"/>
    <w:rsid w:val="00B92C1B"/>
    <w:rsid w:val="00BA16EE"/>
    <w:rsid w:val="00BA736A"/>
    <w:rsid w:val="00BB2632"/>
    <w:rsid w:val="00BB32CB"/>
    <w:rsid w:val="00BB4758"/>
    <w:rsid w:val="00BB5A3A"/>
    <w:rsid w:val="00BB765A"/>
    <w:rsid w:val="00BC4839"/>
    <w:rsid w:val="00BC49BE"/>
    <w:rsid w:val="00BC5C86"/>
    <w:rsid w:val="00BD403E"/>
    <w:rsid w:val="00BD59DC"/>
    <w:rsid w:val="00BE10AE"/>
    <w:rsid w:val="00BE49A0"/>
    <w:rsid w:val="00BE4EDC"/>
    <w:rsid w:val="00BE5ED2"/>
    <w:rsid w:val="00BF275B"/>
    <w:rsid w:val="00BF2CA3"/>
    <w:rsid w:val="00BF2DED"/>
    <w:rsid w:val="00BF66C8"/>
    <w:rsid w:val="00BF7948"/>
    <w:rsid w:val="00C014C2"/>
    <w:rsid w:val="00C074DD"/>
    <w:rsid w:val="00C109A4"/>
    <w:rsid w:val="00C113D9"/>
    <w:rsid w:val="00C11CAF"/>
    <w:rsid w:val="00C12C9F"/>
    <w:rsid w:val="00C137C9"/>
    <w:rsid w:val="00C13893"/>
    <w:rsid w:val="00C16ABF"/>
    <w:rsid w:val="00C2134A"/>
    <w:rsid w:val="00C22458"/>
    <w:rsid w:val="00C2424A"/>
    <w:rsid w:val="00C32AB3"/>
    <w:rsid w:val="00C33623"/>
    <w:rsid w:val="00C37CEF"/>
    <w:rsid w:val="00C402D2"/>
    <w:rsid w:val="00C45EEC"/>
    <w:rsid w:val="00C50CDE"/>
    <w:rsid w:val="00C519FF"/>
    <w:rsid w:val="00C53978"/>
    <w:rsid w:val="00C54479"/>
    <w:rsid w:val="00C5663A"/>
    <w:rsid w:val="00C615F0"/>
    <w:rsid w:val="00C65EA9"/>
    <w:rsid w:val="00C70C2F"/>
    <w:rsid w:val="00C7125E"/>
    <w:rsid w:val="00C72BC6"/>
    <w:rsid w:val="00C76585"/>
    <w:rsid w:val="00C90BA9"/>
    <w:rsid w:val="00C93B85"/>
    <w:rsid w:val="00C93F8D"/>
    <w:rsid w:val="00C95244"/>
    <w:rsid w:val="00CA0E27"/>
    <w:rsid w:val="00CB0DF7"/>
    <w:rsid w:val="00CB24EC"/>
    <w:rsid w:val="00CB3275"/>
    <w:rsid w:val="00CB4380"/>
    <w:rsid w:val="00CB6EA7"/>
    <w:rsid w:val="00CC0F66"/>
    <w:rsid w:val="00CC2A2D"/>
    <w:rsid w:val="00CC3806"/>
    <w:rsid w:val="00CC4952"/>
    <w:rsid w:val="00CD29BB"/>
    <w:rsid w:val="00CE164B"/>
    <w:rsid w:val="00CE4529"/>
    <w:rsid w:val="00CE7F04"/>
    <w:rsid w:val="00CF055A"/>
    <w:rsid w:val="00CF3856"/>
    <w:rsid w:val="00D0021C"/>
    <w:rsid w:val="00D02700"/>
    <w:rsid w:val="00D079A7"/>
    <w:rsid w:val="00D14AA7"/>
    <w:rsid w:val="00D16721"/>
    <w:rsid w:val="00D22929"/>
    <w:rsid w:val="00D23A7B"/>
    <w:rsid w:val="00D307E6"/>
    <w:rsid w:val="00D32243"/>
    <w:rsid w:val="00D332D7"/>
    <w:rsid w:val="00D413AB"/>
    <w:rsid w:val="00D42039"/>
    <w:rsid w:val="00D42B5C"/>
    <w:rsid w:val="00D4706B"/>
    <w:rsid w:val="00D504CF"/>
    <w:rsid w:val="00D540C3"/>
    <w:rsid w:val="00D57F63"/>
    <w:rsid w:val="00D63B1E"/>
    <w:rsid w:val="00D65C0A"/>
    <w:rsid w:val="00D70840"/>
    <w:rsid w:val="00D70F5E"/>
    <w:rsid w:val="00D7313D"/>
    <w:rsid w:val="00D76740"/>
    <w:rsid w:val="00D86922"/>
    <w:rsid w:val="00D90F48"/>
    <w:rsid w:val="00D94111"/>
    <w:rsid w:val="00DA1117"/>
    <w:rsid w:val="00DA2DF8"/>
    <w:rsid w:val="00DA6536"/>
    <w:rsid w:val="00DA7CDE"/>
    <w:rsid w:val="00DB24D3"/>
    <w:rsid w:val="00DB391C"/>
    <w:rsid w:val="00DB3C25"/>
    <w:rsid w:val="00DB4294"/>
    <w:rsid w:val="00DB4F38"/>
    <w:rsid w:val="00DB5770"/>
    <w:rsid w:val="00DB6180"/>
    <w:rsid w:val="00DB6918"/>
    <w:rsid w:val="00DC10F6"/>
    <w:rsid w:val="00DC7A3C"/>
    <w:rsid w:val="00DD2E1A"/>
    <w:rsid w:val="00DD3C57"/>
    <w:rsid w:val="00DF495E"/>
    <w:rsid w:val="00DF4C8C"/>
    <w:rsid w:val="00DF7360"/>
    <w:rsid w:val="00E0175D"/>
    <w:rsid w:val="00E02C8C"/>
    <w:rsid w:val="00E07915"/>
    <w:rsid w:val="00E11306"/>
    <w:rsid w:val="00E13701"/>
    <w:rsid w:val="00E177E6"/>
    <w:rsid w:val="00E20B3E"/>
    <w:rsid w:val="00E23F5D"/>
    <w:rsid w:val="00E27D71"/>
    <w:rsid w:val="00E315FB"/>
    <w:rsid w:val="00E316AC"/>
    <w:rsid w:val="00E34237"/>
    <w:rsid w:val="00E43537"/>
    <w:rsid w:val="00E44D64"/>
    <w:rsid w:val="00E44E93"/>
    <w:rsid w:val="00E46224"/>
    <w:rsid w:val="00E5737D"/>
    <w:rsid w:val="00E62534"/>
    <w:rsid w:val="00E66452"/>
    <w:rsid w:val="00E6646C"/>
    <w:rsid w:val="00E67A82"/>
    <w:rsid w:val="00E70488"/>
    <w:rsid w:val="00E74986"/>
    <w:rsid w:val="00E75AE4"/>
    <w:rsid w:val="00E75F14"/>
    <w:rsid w:val="00E774DA"/>
    <w:rsid w:val="00E821FD"/>
    <w:rsid w:val="00E9296E"/>
    <w:rsid w:val="00E935D9"/>
    <w:rsid w:val="00EA195B"/>
    <w:rsid w:val="00EA458D"/>
    <w:rsid w:val="00EA5C5E"/>
    <w:rsid w:val="00EA647D"/>
    <w:rsid w:val="00EA6962"/>
    <w:rsid w:val="00EB0A0E"/>
    <w:rsid w:val="00EB2B4D"/>
    <w:rsid w:val="00ED19E5"/>
    <w:rsid w:val="00ED3835"/>
    <w:rsid w:val="00ED3C5E"/>
    <w:rsid w:val="00ED3E93"/>
    <w:rsid w:val="00ED413C"/>
    <w:rsid w:val="00ED44B3"/>
    <w:rsid w:val="00ED594A"/>
    <w:rsid w:val="00EF3073"/>
    <w:rsid w:val="00EF5B8B"/>
    <w:rsid w:val="00EF627E"/>
    <w:rsid w:val="00F024B4"/>
    <w:rsid w:val="00F02DF4"/>
    <w:rsid w:val="00F03553"/>
    <w:rsid w:val="00F047E0"/>
    <w:rsid w:val="00F1120E"/>
    <w:rsid w:val="00F11C5E"/>
    <w:rsid w:val="00F14974"/>
    <w:rsid w:val="00F22CC3"/>
    <w:rsid w:val="00F23232"/>
    <w:rsid w:val="00F27484"/>
    <w:rsid w:val="00F30023"/>
    <w:rsid w:val="00F32183"/>
    <w:rsid w:val="00F33023"/>
    <w:rsid w:val="00F33628"/>
    <w:rsid w:val="00F37A22"/>
    <w:rsid w:val="00F419CD"/>
    <w:rsid w:val="00F43BA0"/>
    <w:rsid w:val="00F45FCA"/>
    <w:rsid w:val="00F47E33"/>
    <w:rsid w:val="00F47E3C"/>
    <w:rsid w:val="00F52E45"/>
    <w:rsid w:val="00F531BE"/>
    <w:rsid w:val="00F54C2A"/>
    <w:rsid w:val="00F55D13"/>
    <w:rsid w:val="00F642AE"/>
    <w:rsid w:val="00F66192"/>
    <w:rsid w:val="00F66ABF"/>
    <w:rsid w:val="00F67241"/>
    <w:rsid w:val="00F672A9"/>
    <w:rsid w:val="00F73BC3"/>
    <w:rsid w:val="00F8051C"/>
    <w:rsid w:val="00F85CFD"/>
    <w:rsid w:val="00F9476D"/>
    <w:rsid w:val="00F94A9C"/>
    <w:rsid w:val="00FA4B25"/>
    <w:rsid w:val="00FA596D"/>
    <w:rsid w:val="00FA66DA"/>
    <w:rsid w:val="00FC2F80"/>
    <w:rsid w:val="00FD5076"/>
    <w:rsid w:val="00FE58CE"/>
    <w:rsid w:val="00FE6BB0"/>
    <w:rsid w:val="00FF08B2"/>
    <w:rsid w:val="00FF45FA"/>
    <w:rsid w:val="00FF54A0"/>
    <w:rsid w:val="00FF7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357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222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CD29BB"/>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812F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unhideWhenUsed/>
    <w:qFormat/>
    <w:rsid w:val="00812F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link w:val="Ttulo5Char"/>
    <w:uiPriority w:val="9"/>
    <w:qFormat/>
    <w:rsid w:val="001804DA"/>
    <w:pPr>
      <w:spacing w:before="100" w:beforeAutospacing="1" w:after="100" w:afterAutospacing="1" w:line="240" w:lineRule="auto"/>
      <w:outlineLvl w:val="4"/>
    </w:pPr>
    <w:rPr>
      <w:rFonts w:ascii="Times New Roman" w:eastAsia="Times New Roman" w:hAnsi="Times New Roman" w:cs="Times New Roman"/>
      <w:b/>
      <w:bCs/>
      <w:sz w:val="20"/>
      <w:szCs w:val="20"/>
      <w:lang w:eastAsia="pt-BR"/>
    </w:rPr>
  </w:style>
  <w:style w:type="paragraph" w:styleId="Ttulo6">
    <w:name w:val="heading 6"/>
    <w:basedOn w:val="Normal"/>
    <w:next w:val="Normal"/>
    <w:link w:val="Ttulo6Char"/>
    <w:uiPriority w:val="9"/>
    <w:semiHidden/>
    <w:unhideWhenUsed/>
    <w:qFormat/>
    <w:rsid w:val="009E765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9E765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9E765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9E7655"/>
    <w:pPr>
      <w:keepNext/>
      <w:keepLines/>
      <w:spacing w:after="0"/>
      <w:outlineLvl w:val="8"/>
    </w:pPr>
    <w:rPr>
      <w:rFonts w:eastAsiaTheme="majorEastAsia"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F047E0"/>
    <w:rPr>
      <w:rFonts w:ascii="TimesNewRomanPSMT" w:hAnsi="TimesNewRomanPSMT" w:hint="default"/>
      <w:b w:val="0"/>
      <w:bCs w:val="0"/>
      <w:i w:val="0"/>
      <w:iCs w:val="0"/>
      <w:color w:val="000000"/>
      <w:sz w:val="24"/>
      <w:szCs w:val="24"/>
    </w:rPr>
  </w:style>
  <w:style w:type="table" w:styleId="Tabelacomgrade">
    <w:name w:val="Table Grid"/>
    <w:basedOn w:val="Tabelanormal"/>
    <w:uiPriority w:val="59"/>
    <w:rsid w:val="00242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Fontepargpadro"/>
    <w:rsid w:val="00020233"/>
    <w:rPr>
      <w:rFonts w:ascii="TimesNewRomanPS-ItalicMT" w:hAnsi="TimesNewRomanPS-ItalicMT" w:hint="default"/>
      <w:b w:val="0"/>
      <w:bCs w:val="0"/>
      <w:i/>
      <w:iCs/>
      <w:color w:val="000000"/>
      <w:sz w:val="24"/>
      <w:szCs w:val="24"/>
    </w:rPr>
  </w:style>
  <w:style w:type="character" w:customStyle="1" w:styleId="ws21">
    <w:name w:val="ws21"/>
    <w:basedOn w:val="Fontepargpadro"/>
    <w:rsid w:val="00E66452"/>
  </w:style>
  <w:style w:type="character" w:styleId="Hyperlink">
    <w:name w:val="Hyperlink"/>
    <w:basedOn w:val="Fontepargpadro"/>
    <w:uiPriority w:val="99"/>
    <w:unhideWhenUsed/>
    <w:rsid w:val="00A12D67"/>
    <w:rPr>
      <w:color w:val="0000FF"/>
      <w:u w:val="single"/>
    </w:rPr>
  </w:style>
  <w:style w:type="paragraph" w:styleId="PargrafodaLista">
    <w:name w:val="List Paragraph"/>
    <w:basedOn w:val="Normal"/>
    <w:uiPriority w:val="34"/>
    <w:qFormat/>
    <w:rsid w:val="00691353"/>
    <w:pPr>
      <w:ind w:left="720"/>
      <w:contextualSpacing/>
    </w:pPr>
  </w:style>
  <w:style w:type="paragraph" w:styleId="NormalWeb">
    <w:name w:val="Normal (Web)"/>
    <w:basedOn w:val="Normal"/>
    <w:uiPriority w:val="99"/>
    <w:unhideWhenUsed/>
    <w:rsid w:val="00C5663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5663A"/>
    <w:rPr>
      <w:b/>
      <w:bCs/>
    </w:rPr>
  </w:style>
  <w:style w:type="character" w:styleId="HiperlinkVisitado">
    <w:name w:val="FollowedHyperlink"/>
    <w:basedOn w:val="Fontepargpadro"/>
    <w:uiPriority w:val="99"/>
    <w:semiHidden/>
    <w:unhideWhenUsed/>
    <w:rsid w:val="00A63D44"/>
    <w:rPr>
      <w:color w:val="954F72" w:themeColor="followedHyperlink"/>
      <w:u w:val="single"/>
    </w:rPr>
  </w:style>
  <w:style w:type="character" w:customStyle="1" w:styleId="Ttulo1Char">
    <w:name w:val="Título 1 Char"/>
    <w:basedOn w:val="Fontepargpadro"/>
    <w:link w:val="Ttulo1"/>
    <w:uiPriority w:val="9"/>
    <w:rsid w:val="00922296"/>
    <w:rPr>
      <w:rFonts w:ascii="Times New Roman" w:eastAsia="Times New Roman" w:hAnsi="Times New Roman" w:cs="Times New Roman"/>
      <w:b/>
      <w:bCs/>
      <w:kern w:val="36"/>
      <w:sz w:val="48"/>
      <w:szCs w:val="48"/>
      <w:lang w:eastAsia="pt-BR"/>
    </w:rPr>
  </w:style>
  <w:style w:type="paragraph" w:styleId="Textodenotaderodap">
    <w:name w:val="footnote text"/>
    <w:basedOn w:val="Normal"/>
    <w:link w:val="TextodenotaderodapChar"/>
    <w:uiPriority w:val="99"/>
    <w:unhideWhenUsed/>
    <w:rsid w:val="009B06D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B06D8"/>
    <w:rPr>
      <w:sz w:val="20"/>
      <w:szCs w:val="20"/>
    </w:rPr>
  </w:style>
  <w:style w:type="character" w:styleId="Refdenotaderodap">
    <w:name w:val="footnote reference"/>
    <w:basedOn w:val="Fontepargpadro"/>
    <w:uiPriority w:val="99"/>
    <w:semiHidden/>
    <w:unhideWhenUsed/>
    <w:rsid w:val="009B06D8"/>
    <w:rPr>
      <w:vertAlign w:val="superscript"/>
    </w:rPr>
  </w:style>
  <w:style w:type="character" w:customStyle="1" w:styleId="familyname">
    <w:name w:val="familyname"/>
    <w:basedOn w:val="Fontepargpadro"/>
    <w:rsid w:val="00402D1C"/>
  </w:style>
  <w:style w:type="character" w:styleId="nfase">
    <w:name w:val="Emphasis"/>
    <w:basedOn w:val="Fontepargpadro"/>
    <w:uiPriority w:val="20"/>
    <w:qFormat/>
    <w:rsid w:val="00402D1C"/>
    <w:rPr>
      <w:i/>
      <w:iCs/>
    </w:rPr>
  </w:style>
  <w:style w:type="character" w:customStyle="1" w:styleId="Ttulo3Char">
    <w:name w:val="Título 3 Char"/>
    <w:basedOn w:val="Fontepargpadro"/>
    <w:link w:val="Ttulo3"/>
    <w:uiPriority w:val="9"/>
    <w:rsid w:val="00812F50"/>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uiPriority w:val="9"/>
    <w:rsid w:val="00812F50"/>
    <w:rPr>
      <w:rFonts w:asciiTheme="majorHAnsi" w:eastAsiaTheme="majorEastAsia" w:hAnsiTheme="majorHAnsi" w:cstheme="majorBidi"/>
      <w:i/>
      <w:iCs/>
      <w:color w:val="2E74B5" w:themeColor="accent1" w:themeShade="BF"/>
    </w:rPr>
  </w:style>
  <w:style w:type="character" w:customStyle="1" w:styleId="text3">
    <w:name w:val="text3"/>
    <w:basedOn w:val="Fontepargpadro"/>
    <w:rsid w:val="00A55A02"/>
  </w:style>
  <w:style w:type="paragraph" w:styleId="Cabealho">
    <w:name w:val="header"/>
    <w:basedOn w:val="Normal"/>
    <w:link w:val="CabealhoChar"/>
    <w:uiPriority w:val="99"/>
    <w:unhideWhenUsed/>
    <w:rsid w:val="0060026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00269"/>
  </w:style>
  <w:style w:type="paragraph" w:styleId="Rodap">
    <w:name w:val="footer"/>
    <w:basedOn w:val="Normal"/>
    <w:link w:val="RodapChar"/>
    <w:uiPriority w:val="99"/>
    <w:unhideWhenUsed/>
    <w:rsid w:val="00600269"/>
    <w:pPr>
      <w:tabs>
        <w:tab w:val="center" w:pos="4252"/>
        <w:tab w:val="right" w:pos="8504"/>
      </w:tabs>
      <w:spacing w:after="0" w:line="240" w:lineRule="auto"/>
    </w:pPr>
  </w:style>
  <w:style w:type="character" w:customStyle="1" w:styleId="RodapChar">
    <w:name w:val="Rodapé Char"/>
    <w:basedOn w:val="Fontepargpadro"/>
    <w:link w:val="Rodap"/>
    <w:uiPriority w:val="99"/>
    <w:rsid w:val="00600269"/>
  </w:style>
  <w:style w:type="character" w:styleId="MenoPendente">
    <w:name w:val="Unresolved Mention"/>
    <w:basedOn w:val="Fontepargpadro"/>
    <w:uiPriority w:val="99"/>
    <w:semiHidden/>
    <w:unhideWhenUsed/>
    <w:rsid w:val="00790199"/>
    <w:rPr>
      <w:color w:val="605E5C"/>
      <w:shd w:val="clear" w:color="auto" w:fill="E1DFDD"/>
    </w:rPr>
  </w:style>
  <w:style w:type="paragraph" w:styleId="Corpodetexto">
    <w:name w:val="Body Text"/>
    <w:basedOn w:val="Normal"/>
    <w:link w:val="CorpodetextoChar"/>
    <w:uiPriority w:val="1"/>
    <w:qFormat/>
    <w:rsid w:val="00BC5C8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detextoChar">
    <w:name w:val="Corpo de texto Char"/>
    <w:basedOn w:val="Fontepargpadro"/>
    <w:link w:val="Corpodetexto"/>
    <w:uiPriority w:val="1"/>
    <w:rsid w:val="00BC5C86"/>
    <w:rPr>
      <w:rFonts w:ascii="Times New Roman" w:eastAsia="Times New Roman" w:hAnsi="Times New Roman" w:cs="Times New Roman"/>
      <w:sz w:val="24"/>
      <w:szCs w:val="24"/>
      <w:lang w:val="en-US"/>
    </w:rPr>
  </w:style>
  <w:style w:type="paragraph" w:styleId="SemEspaamento">
    <w:name w:val="No Spacing"/>
    <w:uiPriority w:val="1"/>
    <w:qFormat/>
    <w:rsid w:val="00BC5C8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Ttulo2Char">
    <w:name w:val="Título 2 Char"/>
    <w:basedOn w:val="Fontepargpadro"/>
    <w:link w:val="Ttulo2"/>
    <w:uiPriority w:val="9"/>
    <w:rsid w:val="00CD29BB"/>
    <w:rPr>
      <w:rFonts w:ascii="Times New Roman" w:eastAsia="Times New Roman" w:hAnsi="Times New Roman" w:cs="Times New Roman"/>
      <w:b/>
      <w:bCs/>
      <w:sz w:val="36"/>
      <w:szCs w:val="36"/>
      <w:lang w:eastAsia="pt-BR"/>
    </w:rPr>
  </w:style>
  <w:style w:type="character" w:customStyle="1" w:styleId="markedcontent">
    <w:name w:val="markedcontent"/>
    <w:basedOn w:val="Fontepargpadro"/>
    <w:rsid w:val="00CD29BB"/>
  </w:style>
  <w:style w:type="paragraph" w:customStyle="1" w:styleId="Data1">
    <w:name w:val="Data1"/>
    <w:basedOn w:val="Normal"/>
    <w:rsid w:val="00CD29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ection-title--slogan">
    <w:name w:val="section-title--slogan"/>
    <w:basedOn w:val="Fontepargpadro"/>
    <w:rsid w:val="00CD29BB"/>
  </w:style>
  <w:style w:type="character" w:styleId="Refdecomentrio">
    <w:name w:val="annotation reference"/>
    <w:basedOn w:val="Fontepargpadro"/>
    <w:uiPriority w:val="99"/>
    <w:semiHidden/>
    <w:unhideWhenUsed/>
    <w:rsid w:val="00CD29BB"/>
    <w:rPr>
      <w:sz w:val="16"/>
      <w:szCs w:val="16"/>
    </w:rPr>
  </w:style>
  <w:style w:type="paragraph" w:styleId="Textodecomentrio">
    <w:name w:val="annotation text"/>
    <w:basedOn w:val="Normal"/>
    <w:link w:val="TextodecomentrioChar"/>
    <w:uiPriority w:val="99"/>
    <w:unhideWhenUsed/>
    <w:rsid w:val="00CD29BB"/>
    <w:pPr>
      <w:spacing w:line="240" w:lineRule="auto"/>
    </w:pPr>
    <w:rPr>
      <w:sz w:val="20"/>
      <w:szCs w:val="20"/>
    </w:rPr>
  </w:style>
  <w:style w:type="character" w:customStyle="1" w:styleId="TextodecomentrioChar">
    <w:name w:val="Texto de comentário Char"/>
    <w:basedOn w:val="Fontepargpadro"/>
    <w:link w:val="Textodecomentrio"/>
    <w:uiPriority w:val="99"/>
    <w:rsid w:val="00CD29BB"/>
    <w:rPr>
      <w:sz w:val="20"/>
      <w:szCs w:val="20"/>
    </w:rPr>
  </w:style>
  <w:style w:type="paragraph" w:styleId="Assuntodocomentrio">
    <w:name w:val="annotation subject"/>
    <w:basedOn w:val="Textodecomentrio"/>
    <w:next w:val="Textodecomentrio"/>
    <w:link w:val="AssuntodocomentrioChar"/>
    <w:uiPriority w:val="99"/>
    <w:semiHidden/>
    <w:unhideWhenUsed/>
    <w:rsid w:val="00CD29BB"/>
    <w:rPr>
      <w:b/>
      <w:bCs/>
    </w:rPr>
  </w:style>
  <w:style w:type="character" w:customStyle="1" w:styleId="AssuntodocomentrioChar">
    <w:name w:val="Assunto do comentário Char"/>
    <w:basedOn w:val="TextodecomentrioChar"/>
    <w:link w:val="Assuntodocomentrio"/>
    <w:uiPriority w:val="99"/>
    <w:semiHidden/>
    <w:rsid w:val="00CD29BB"/>
    <w:rPr>
      <w:b/>
      <w:bCs/>
      <w:sz w:val="20"/>
      <w:szCs w:val="20"/>
    </w:rPr>
  </w:style>
  <w:style w:type="paragraph" w:styleId="Textodebalo">
    <w:name w:val="Balloon Text"/>
    <w:basedOn w:val="Normal"/>
    <w:link w:val="TextodebaloChar"/>
    <w:uiPriority w:val="99"/>
    <w:semiHidden/>
    <w:unhideWhenUsed/>
    <w:rsid w:val="00CD29B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D29BB"/>
    <w:rPr>
      <w:rFonts w:ascii="Segoe UI" w:hAnsi="Segoe UI" w:cs="Segoe UI"/>
      <w:sz w:val="18"/>
      <w:szCs w:val="18"/>
    </w:rPr>
  </w:style>
  <w:style w:type="paragraph" w:styleId="Pr-formataoHTML">
    <w:name w:val="HTML Preformatted"/>
    <w:basedOn w:val="Normal"/>
    <w:link w:val="Pr-formataoHTMLChar"/>
    <w:uiPriority w:val="99"/>
    <w:semiHidden/>
    <w:unhideWhenUsed/>
    <w:rsid w:val="00CD2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D29BB"/>
    <w:rPr>
      <w:rFonts w:ascii="Courier New" w:eastAsia="Times New Roman" w:hAnsi="Courier New" w:cs="Courier New"/>
      <w:sz w:val="20"/>
      <w:szCs w:val="20"/>
      <w:lang w:eastAsia="pt-BR"/>
    </w:rPr>
  </w:style>
  <w:style w:type="character" w:customStyle="1" w:styleId="y2iqfc">
    <w:name w:val="y2iqfc"/>
    <w:basedOn w:val="Fontepargpadro"/>
    <w:rsid w:val="00CD29BB"/>
  </w:style>
  <w:style w:type="character" w:customStyle="1" w:styleId="Ttulo5Char">
    <w:name w:val="Título 5 Char"/>
    <w:basedOn w:val="Fontepargpadro"/>
    <w:link w:val="Ttulo5"/>
    <w:uiPriority w:val="9"/>
    <w:rsid w:val="001804DA"/>
    <w:rPr>
      <w:rFonts w:ascii="Times New Roman" w:eastAsia="Times New Roman" w:hAnsi="Times New Roman" w:cs="Times New Roman"/>
      <w:b/>
      <w:bCs/>
      <w:sz w:val="20"/>
      <w:szCs w:val="20"/>
      <w:lang w:eastAsia="pt-BR"/>
    </w:rPr>
  </w:style>
  <w:style w:type="character" w:customStyle="1" w:styleId="fontstyle0">
    <w:name w:val="fontstyle0"/>
    <w:basedOn w:val="Fontepargpadro"/>
    <w:rsid w:val="001804DA"/>
  </w:style>
  <w:style w:type="paragraph" w:customStyle="1" w:styleId="Default">
    <w:name w:val="Default"/>
    <w:rsid w:val="001804D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uthor">
    <w:name w:val="author"/>
    <w:basedOn w:val="Fontepargpadro"/>
    <w:rsid w:val="001804DA"/>
  </w:style>
  <w:style w:type="character" w:customStyle="1" w:styleId="a-color-secondary">
    <w:name w:val="a-color-secondary"/>
    <w:basedOn w:val="Fontepargpadro"/>
    <w:rsid w:val="001804DA"/>
  </w:style>
  <w:style w:type="character" w:customStyle="1" w:styleId="more">
    <w:name w:val="more"/>
    <w:basedOn w:val="Fontepargpadro"/>
    <w:rsid w:val="001804DA"/>
  </w:style>
  <w:style w:type="character" w:customStyle="1" w:styleId="morecount">
    <w:name w:val="morecount"/>
    <w:basedOn w:val="Fontepargpadro"/>
    <w:rsid w:val="001804DA"/>
  </w:style>
  <w:style w:type="character" w:customStyle="1" w:styleId="a-size-extra-large">
    <w:name w:val="a-size-extra-large"/>
    <w:basedOn w:val="Fontepargpadro"/>
    <w:rsid w:val="001804DA"/>
  </w:style>
  <w:style w:type="paragraph" w:customStyle="1" w:styleId="paragraph">
    <w:name w:val="paragraph"/>
    <w:basedOn w:val="Normal"/>
    <w:rsid w:val="001804D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uiPriority w:val="11"/>
    <w:qFormat/>
    <w:rsid w:val="009E765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9E7655"/>
    <w:rPr>
      <w:rFonts w:eastAsiaTheme="majorEastAsia" w:cstheme="majorBidi"/>
      <w:color w:val="595959" w:themeColor="text1" w:themeTint="A6"/>
      <w:spacing w:val="15"/>
      <w:kern w:val="2"/>
      <w:sz w:val="28"/>
      <w:szCs w:val="28"/>
      <w14:ligatures w14:val="standardContextual"/>
    </w:rPr>
  </w:style>
  <w:style w:type="character" w:customStyle="1" w:styleId="Ttulo6Char">
    <w:name w:val="Título 6 Char"/>
    <w:basedOn w:val="Fontepargpadro"/>
    <w:link w:val="Ttulo6"/>
    <w:uiPriority w:val="9"/>
    <w:semiHidden/>
    <w:rsid w:val="009E7655"/>
    <w:rPr>
      <w:rFonts w:eastAsiaTheme="majorEastAsia" w:cstheme="majorBidi"/>
      <w:i/>
      <w:iCs/>
      <w:color w:val="595959" w:themeColor="text1" w:themeTint="A6"/>
      <w:kern w:val="2"/>
      <w14:ligatures w14:val="standardContextual"/>
    </w:rPr>
  </w:style>
  <w:style w:type="character" w:customStyle="1" w:styleId="Ttulo7Char">
    <w:name w:val="Título 7 Char"/>
    <w:basedOn w:val="Fontepargpadro"/>
    <w:link w:val="Ttulo7"/>
    <w:uiPriority w:val="9"/>
    <w:semiHidden/>
    <w:rsid w:val="009E7655"/>
    <w:rPr>
      <w:rFonts w:eastAsiaTheme="majorEastAsia" w:cstheme="majorBidi"/>
      <w:color w:val="595959" w:themeColor="text1" w:themeTint="A6"/>
      <w:kern w:val="2"/>
      <w14:ligatures w14:val="standardContextual"/>
    </w:rPr>
  </w:style>
  <w:style w:type="character" w:customStyle="1" w:styleId="Ttulo8Char">
    <w:name w:val="Título 8 Char"/>
    <w:basedOn w:val="Fontepargpadro"/>
    <w:link w:val="Ttulo8"/>
    <w:uiPriority w:val="9"/>
    <w:semiHidden/>
    <w:rsid w:val="009E7655"/>
    <w:rPr>
      <w:rFonts w:eastAsiaTheme="majorEastAsia" w:cstheme="majorBidi"/>
      <w:i/>
      <w:iCs/>
      <w:color w:val="272727" w:themeColor="text1" w:themeTint="D8"/>
      <w:kern w:val="2"/>
      <w14:ligatures w14:val="standardContextual"/>
    </w:rPr>
  </w:style>
  <w:style w:type="character" w:customStyle="1" w:styleId="Ttulo9Char">
    <w:name w:val="Título 9 Char"/>
    <w:basedOn w:val="Fontepargpadro"/>
    <w:link w:val="Ttulo9"/>
    <w:uiPriority w:val="9"/>
    <w:semiHidden/>
    <w:rsid w:val="009E7655"/>
    <w:rPr>
      <w:rFonts w:eastAsiaTheme="majorEastAsia" w:cstheme="majorBidi"/>
      <w:color w:val="272727" w:themeColor="text1" w:themeTint="D8"/>
      <w:kern w:val="2"/>
      <w14:ligatures w14:val="standardContextual"/>
    </w:rPr>
  </w:style>
  <w:style w:type="paragraph" w:styleId="Ttulo">
    <w:name w:val="Title"/>
    <w:basedOn w:val="Normal"/>
    <w:next w:val="Normal"/>
    <w:link w:val="TtuloChar"/>
    <w:uiPriority w:val="10"/>
    <w:qFormat/>
    <w:rsid w:val="009E76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9E7655"/>
    <w:rPr>
      <w:rFonts w:asciiTheme="majorHAnsi" w:eastAsiaTheme="majorEastAsia" w:hAnsiTheme="majorHAnsi" w:cstheme="majorBidi"/>
      <w:spacing w:val="-10"/>
      <w:kern w:val="28"/>
      <w:sz w:val="56"/>
      <w:szCs w:val="56"/>
      <w14:ligatures w14:val="standardContextual"/>
    </w:rPr>
  </w:style>
  <w:style w:type="paragraph" w:styleId="Citao">
    <w:name w:val="Quote"/>
    <w:basedOn w:val="Normal"/>
    <w:next w:val="Normal"/>
    <w:link w:val="CitaoChar"/>
    <w:uiPriority w:val="29"/>
    <w:qFormat/>
    <w:rsid w:val="009E7655"/>
    <w:pPr>
      <w:spacing w:before="160"/>
      <w:jc w:val="center"/>
    </w:pPr>
    <w:rPr>
      <w:i/>
      <w:iCs/>
      <w:color w:val="404040" w:themeColor="text1" w:themeTint="BF"/>
      <w:kern w:val="2"/>
      <w14:ligatures w14:val="standardContextual"/>
    </w:rPr>
  </w:style>
  <w:style w:type="character" w:customStyle="1" w:styleId="CitaoChar">
    <w:name w:val="Citação Char"/>
    <w:basedOn w:val="Fontepargpadro"/>
    <w:link w:val="Citao"/>
    <w:uiPriority w:val="29"/>
    <w:rsid w:val="009E7655"/>
    <w:rPr>
      <w:i/>
      <w:iCs/>
      <w:color w:val="404040" w:themeColor="text1" w:themeTint="BF"/>
      <w:kern w:val="2"/>
      <w14:ligatures w14:val="standardContextual"/>
    </w:rPr>
  </w:style>
  <w:style w:type="character" w:styleId="nfaseIntensa">
    <w:name w:val="Intense Emphasis"/>
    <w:basedOn w:val="Fontepargpadro"/>
    <w:uiPriority w:val="21"/>
    <w:qFormat/>
    <w:rsid w:val="009E7655"/>
    <w:rPr>
      <w:i/>
      <w:iCs/>
      <w:color w:val="2E74B5" w:themeColor="accent1" w:themeShade="BF"/>
    </w:rPr>
  </w:style>
  <w:style w:type="paragraph" w:styleId="CitaoIntensa">
    <w:name w:val="Intense Quote"/>
    <w:basedOn w:val="Normal"/>
    <w:next w:val="Normal"/>
    <w:link w:val="CitaoIntensaChar"/>
    <w:uiPriority w:val="30"/>
    <w:qFormat/>
    <w:rsid w:val="009E765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oIntensaChar">
    <w:name w:val="Citação Intensa Char"/>
    <w:basedOn w:val="Fontepargpadro"/>
    <w:link w:val="CitaoIntensa"/>
    <w:uiPriority w:val="30"/>
    <w:rsid w:val="009E7655"/>
    <w:rPr>
      <w:i/>
      <w:iCs/>
      <w:color w:val="2E74B5" w:themeColor="accent1" w:themeShade="BF"/>
      <w:kern w:val="2"/>
      <w14:ligatures w14:val="standardContextual"/>
    </w:rPr>
  </w:style>
  <w:style w:type="character" w:styleId="RefernciaIntensa">
    <w:name w:val="Intense Reference"/>
    <w:basedOn w:val="Fontepargpadro"/>
    <w:uiPriority w:val="32"/>
    <w:qFormat/>
    <w:rsid w:val="009E7655"/>
    <w:rPr>
      <w:b/>
      <w:bCs/>
      <w:smallCaps/>
      <w:color w:val="2E74B5" w:themeColor="accent1" w:themeShade="BF"/>
      <w:spacing w:val="5"/>
    </w:rPr>
  </w:style>
  <w:style w:type="character" w:customStyle="1" w:styleId="texter1">
    <w:name w:val="texter1"/>
    <w:rsid w:val="00D23A7B"/>
    <w:rPr>
      <w:rFonts w:ascii="Verdana" w:hAnsi="Verdana" w:hint="default"/>
      <w:b w:val="0"/>
      <w:bCs w:val="0"/>
      <w:color w:val="58585A"/>
      <w:sz w:val="20"/>
      <w:szCs w:val="20"/>
    </w:rPr>
  </w:style>
  <w:style w:type="character" w:customStyle="1" w:styleId="st">
    <w:name w:val="st"/>
    <w:basedOn w:val="Fontepargpadro"/>
    <w:rsid w:val="00D23A7B"/>
  </w:style>
  <w:style w:type="table" w:styleId="SombreamentoMdio2-nfase5">
    <w:name w:val="Medium Shading 2 Accent 5"/>
    <w:basedOn w:val="Tabelanormal"/>
    <w:uiPriority w:val="64"/>
    <w:rsid w:val="00D23A7B"/>
    <w:pPr>
      <w:spacing w:after="0" w:line="240" w:lineRule="auto"/>
    </w:pPr>
    <w:rPr>
      <w:rFonts w:ascii="Calibri" w:eastAsia="Calibri" w:hAnsi="Calibri" w:cs="Times New Roman"/>
      <w:sz w:val="20"/>
      <w:szCs w:val="20"/>
      <w:lang w:eastAsia="pt-B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adeMdia1-nfase6">
    <w:name w:val="Medium Grid 1 Accent 6"/>
    <w:basedOn w:val="Tabelanormal"/>
    <w:uiPriority w:val="67"/>
    <w:rsid w:val="00D23A7B"/>
    <w:pPr>
      <w:spacing w:after="0" w:line="240" w:lineRule="auto"/>
    </w:pPr>
    <w:rPr>
      <w:rFonts w:ascii="Calibri" w:eastAsia="Calibri" w:hAnsi="Calibri" w:cs="Times New Roman"/>
      <w:sz w:val="20"/>
      <w:szCs w:val="20"/>
      <w:lang w:eastAsia="pt-B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customStyle="1" w:styleId="A6">
    <w:name w:val="A6"/>
    <w:uiPriority w:val="99"/>
    <w:rsid w:val="00D23A7B"/>
    <w:rPr>
      <w:rFonts w:cs="Swis721 Cn BT"/>
      <w:color w:val="000000"/>
      <w:sz w:val="8"/>
      <w:szCs w:val="8"/>
    </w:rPr>
  </w:style>
  <w:style w:type="character" w:customStyle="1" w:styleId="A3">
    <w:name w:val="A3"/>
    <w:uiPriority w:val="99"/>
    <w:rsid w:val="00D23A7B"/>
    <w:rPr>
      <w:rFonts w:ascii="AGaramond" w:hAnsi="AGaramond" w:cs="AGaramond"/>
      <w:color w:val="000000"/>
      <w:sz w:val="12"/>
      <w:szCs w:val="12"/>
    </w:rPr>
  </w:style>
  <w:style w:type="character" w:customStyle="1" w:styleId="A8">
    <w:name w:val="A8"/>
    <w:uiPriority w:val="99"/>
    <w:rsid w:val="00D23A7B"/>
    <w:rPr>
      <w:rFonts w:ascii="Wingdings" w:hAnsi="Wingdings" w:cs="Wingdings"/>
      <w:color w:val="000000"/>
      <w:sz w:val="10"/>
      <w:szCs w:val="10"/>
    </w:rPr>
  </w:style>
  <w:style w:type="character" w:customStyle="1" w:styleId="hps">
    <w:name w:val="hps"/>
    <w:basedOn w:val="Fontepargpadro"/>
    <w:rsid w:val="00D23A7B"/>
  </w:style>
  <w:style w:type="paragraph" w:customStyle="1" w:styleId="style1">
    <w:name w:val="style1"/>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style2">
    <w:name w:val="style2"/>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style13">
    <w:name w:val="style13"/>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styleId="CitaoHTML">
    <w:name w:val="HTML Cite"/>
    <w:rsid w:val="00D23A7B"/>
    <w:rPr>
      <w:i/>
      <w:iCs/>
    </w:rPr>
  </w:style>
  <w:style w:type="paragraph" w:customStyle="1" w:styleId="pergunta">
    <w:name w:val="pergun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resposta">
    <w:name w:val="respos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autorresposta">
    <w:name w:val="autorresposta"/>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table" w:customStyle="1" w:styleId="SombreamentoClaro1">
    <w:name w:val="Sombreamento Claro1"/>
    <w:basedOn w:val="Tabelanormal"/>
    <w:uiPriority w:val="60"/>
    <w:rsid w:val="00D23A7B"/>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Fontepargpadro"/>
    <w:rsid w:val="00D23A7B"/>
  </w:style>
  <w:style w:type="paragraph" w:customStyle="1" w:styleId="style38">
    <w:name w:val="style38"/>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customStyle="1" w:styleId="formata">
    <w:name w:val="formata"/>
    <w:basedOn w:val="Fontepargpadro"/>
    <w:rsid w:val="00D23A7B"/>
  </w:style>
  <w:style w:type="paragraph" w:customStyle="1" w:styleId="textoconteudo">
    <w:name w:val="textoconteudo"/>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paragraph" w:customStyle="1" w:styleId="textogeral">
    <w:name w:val="textogeral"/>
    <w:basedOn w:val="Normal"/>
    <w:rsid w:val="00D23A7B"/>
    <w:pPr>
      <w:spacing w:before="100" w:beforeAutospacing="1" w:after="100" w:afterAutospacing="1" w:line="240" w:lineRule="auto"/>
      <w:jc w:val="both"/>
    </w:pPr>
    <w:rPr>
      <w:rFonts w:ascii="Times New Roman" w:eastAsia="Times New Roman" w:hAnsi="Times New Roman" w:cs="Arial"/>
      <w:sz w:val="24"/>
      <w:szCs w:val="24"/>
      <w:lang w:val="en-US"/>
    </w:rPr>
  </w:style>
  <w:style w:type="character" w:customStyle="1" w:styleId="textogeral1">
    <w:name w:val="textogeral1"/>
    <w:basedOn w:val="Fontepargpadro"/>
    <w:rsid w:val="00D23A7B"/>
  </w:style>
  <w:style w:type="character" w:customStyle="1" w:styleId="apple-style-span">
    <w:name w:val="apple-style-span"/>
    <w:basedOn w:val="Fontepargpadro"/>
    <w:rsid w:val="00D23A7B"/>
  </w:style>
  <w:style w:type="character" w:customStyle="1" w:styleId="highlightedsearchterm">
    <w:name w:val="highlightedsearchterm"/>
    <w:basedOn w:val="Fontepargpadro"/>
    <w:rsid w:val="00D23A7B"/>
  </w:style>
  <w:style w:type="table" w:customStyle="1" w:styleId="TableNormal">
    <w:name w:val="Table Normal"/>
    <w:uiPriority w:val="2"/>
    <w:semiHidden/>
    <w:unhideWhenUsed/>
    <w:qFormat/>
    <w:rsid w:val="00D23A7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23A7B"/>
    <w:pPr>
      <w:widowControl w:val="0"/>
      <w:autoSpaceDE w:val="0"/>
      <w:autoSpaceDN w:val="0"/>
      <w:spacing w:after="0" w:line="240" w:lineRule="auto"/>
      <w:ind w:left="107"/>
    </w:pPr>
    <w:rPr>
      <w:rFonts w:ascii="Times New Roman" w:eastAsia="Times New Roman" w:hAnsi="Times New Roman" w:cs="Times New Roman"/>
      <w:lang w:val="pt-PT"/>
    </w:rPr>
  </w:style>
  <w:style w:type="character" w:customStyle="1" w:styleId="bold">
    <w:name w:val="bold"/>
    <w:basedOn w:val="Fontepargpadro"/>
    <w:rsid w:val="008F7D31"/>
  </w:style>
  <w:style w:type="character" w:customStyle="1" w:styleId="ng-star-inserted">
    <w:name w:val="ng-star-inserted"/>
    <w:basedOn w:val="Fontepargpadro"/>
    <w:rsid w:val="008F7D31"/>
  </w:style>
  <w:style w:type="character" w:customStyle="1" w:styleId="uv3um">
    <w:name w:val="uv3um"/>
    <w:basedOn w:val="Fontepargpadro"/>
    <w:rsid w:val="008F7D31"/>
  </w:style>
  <w:style w:type="character" w:customStyle="1" w:styleId="italic">
    <w:name w:val="italic"/>
    <w:basedOn w:val="Fontepargpadro"/>
    <w:rsid w:val="008F7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9548">
      <w:bodyDiv w:val="1"/>
      <w:marLeft w:val="0"/>
      <w:marRight w:val="0"/>
      <w:marTop w:val="0"/>
      <w:marBottom w:val="0"/>
      <w:divBdr>
        <w:top w:val="none" w:sz="0" w:space="0" w:color="auto"/>
        <w:left w:val="none" w:sz="0" w:space="0" w:color="auto"/>
        <w:bottom w:val="none" w:sz="0" w:space="0" w:color="auto"/>
        <w:right w:val="none" w:sz="0" w:space="0" w:color="auto"/>
      </w:divBdr>
    </w:div>
    <w:div w:id="117140203">
      <w:bodyDiv w:val="1"/>
      <w:marLeft w:val="0"/>
      <w:marRight w:val="0"/>
      <w:marTop w:val="0"/>
      <w:marBottom w:val="0"/>
      <w:divBdr>
        <w:top w:val="none" w:sz="0" w:space="0" w:color="auto"/>
        <w:left w:val="none" w:sz="0" w:space="0" w:color="auto"/>
        <w:bottom w:val="none" w:sz="0" w:space="0" w:color="auto"/>
        <w:right w:val="none" w:sz="0" w:space="0" w:color="auto"/>
      </w:divBdr>
    </w:div>
    <w:div w:id="140007610">
      <w:bodyDiv w:val="1"/>
      <w:marLeft w:val="0"/>
      <w:marRight w:val="0"/>
      <w:marTop w:val="0"/>
      <w:marBottom w:val="0"/>
      <w:divBdr>
        <w:top w:val="none" w:sz="0" w:space="0" w:color="auto"/>
        <w:left w:val="none" w:sz="0" w:space="0" w:color="auto"/>
        <w:bottom w:val="none" w:sz="0" w:space="0" w:color="auto"/>
        <w:right w:val="none" w:sz="0" w:space="0" w:color="auto"/>
      </w:divBdr>
    </w:div>
    <w:div w:id="160505358">
      <w:bodyDiv w:val="1"/>
      <w:marLeft w:val="0"/>
      <w:marRight w:val="0"/>
      <w:marTop w:val="0"/>
      <w:marBottom w:val="0"/>
      <w:divBdr>
        <w:top w:val="none" w:sz="0" w:space="0" w:color="auto"/>
        <w:left w:val="none" w:sz="0" w:space="0" w:color="auto"/>
        <w:bottom w:val="none" w:sz="0" w:space="0" w:color="auto"/>
        <w:right w:val="none" w:sz="0" w:space="0" w:color="auto"/>
      </w:divBdr>
      <w:divsChild>
        <w:div w:id="584607358">
          <w:marLeft w:val="0"/>
          <w:marRight w:val="0"/>
          <w:marTop w:val="0"/>
          <w:marBottom w:val="0"/>
          <w:divBdr>
            <w:top w:val="none" w:sz="0" w:space="0" w:color="auto"/>
            <w:left w:val="none" w:sz="0" w:space="0" w:color="auto"/>
            <w:bottom w:val="none" w:sz="0" w:space="0" w:color="auto"/>
            <w:right w:val="none" w:sz="0" w:space="0" w:color="auto"/>
          </w:divBdr>
        </w:div>
        <w:div w:id="582380356">
          <w:marLeft w:val="0"/>
          <w:marRight w:val="0"/>
          <w:marTop w:val="0"/>
          <w:marBottom w:val="0"/>
          <w:divBdr>
            <w:top w:val="none" w:sz="0" w:space="0" w:color="auto"/>
            <w:left w:val="none" w:sz="0" w:space="0" w:color="auto"/>
            <w:bottom w:val="none" w:sz="0" w:space="0" w:color="auto"/>
            <w:right w:val="none" w:sz="0" w:space="0" w:color="auto"/>
          </w:divBdr>
        </w:div>
        <w:div w:id="709231584">
          <w:marLeft w:val="0"/>
          <w:marRight w:val="0"/>
          <w:marTop w:val="0"/>
          <w:marBottom w:val="0"/>
          <w:divBdr>
            <w:top w:val="none" w:sz="0" w:space="0" w:color="auto"/>
            <w:left w:val="none" w:sz="0" w:space="0" w:color="auto"/>
            <w:bottom w:val="none" w:sz="0" w:space="0" w:color="auto"/>
            <w:right w:val="none" w:sz="0" w:space="0" w:color="auto"/>
          </w:divBdr>
        </w:div>
        <w:div w:id="1001350093">
          <w:marLeft w:val="0"/>
          <w:marRight w:val="0"/>
          <w:marTop w:val="0"/>
          <w:marBottom w:val="0"/>
          <w:divBdr>
            <w:top w:val="none" w:sz="0" w:space="0" w:color="auto"/>
            <w:left w:val="none" w:sz="0" w:space="0" w:color="auto"/>
            <w:bottom w:val="none" w:sz="0" w:space="0" w:color="auto"/>
            <w:right w:val="none" w:sz="0" w:space="0" w:color="auto"/>
          </w:divBdr>
        </w:div>
        <w:div w:id="1226448528">
          <w:marLeft w:val="0"/>
          <w:marRight w:val="0"/>
          <w:marTop w:val="0"/>
          <w:marBottom w:val="0"/>
          <w:divBdr>
            <w:top w:val="none" w:sz="0" w:space="0" w:color="auto"/>
            <w:left w:val="none" w:sz="0" w:space="0" w:color="auto"/>
            <w:bottom w:val="none" w:sz="0" w:space="0" w:color="auto"/>
            <w:right w:val="none" w:sz="0" w:space="0" w:color="auto"/>
          </w:divBdr>
        </w:div>
        <w:div w:id="2101950231">
          <w:marLeft w:val="0"/>
          <w:marRight w:val="0"/>
          <w:marTop w:val="0"/>
          <w:marBottom w:val="0"/>
          <w:divBdr>
            <w:top w:val="none" w:sz="0" w:space="0" w:color="auto"/>
            <w:left w:val="none" w:sz="0" w:space="0" w:color="auto"/>
            <w:bottom w:val="none" w:sz="0" w:space="0" w:color="auto"/>
            <w:right w:val="none" w:sz="0" w:space="0" w:color="auto"/>
          </w:divBdr>
        </w:div>
      </w:divsChild>
    </w:div>
    <w:div w:id="197595463">
      <w:bodyDiv w:val="1"/>
      <w:marLeft w:val="0"/>
      <w:marRight w:val="0"/>
      <w:marTop w:val="0"/>
      <w:marBottom w:val="0"/>
      <w:divBdr>
        <w:top w:val="none" w:sz="0" w:space="0" w:color="auto"/>
        <w:left w:val="none" w:sz="0" w:space="0" w:color="auto"/>
        <w:bottom w:val="none" w:sz="0" w:space="0" w:color="auto"/>
        <w:right w:val="none" w:sz="0" w:space="0" w:color="auto"/>
      </w:divBdr>
      <w:divsChild>
        <w:div w:id="1016272581">
          <w:marLeft w:val="0"/>
          <w:marRight w:val="0"/>
          <w:marTop w:val="0"/>
          <w:marBottom w:val="0"/>
          <w:divBdr>
            <w:top w:val="none" w:sz="0" w:space="0" w:color="auto"/>
            <w:left w:val="none" w:sz="0" w:space="0" w:color="auto"/>
            <w:bottom w:val="none" w:sz="0" w:space="0" w:color="auto"/>
            <w:right w:val="none" w:sz="0" w:space="0" w:color="auto"/>
          </w:divBdr>
        </w:div>
      </w:divsChild>
    </w:div>
    <w:div w:id="292946902">
      <w:bodyDiv w:val="1"/>
      <w:marLeft w:val="0"/>
      <w:marRight w:val="0"/>
      <w:marTop w:val="0"/>
      <w:marBottom w:val="0"/>
      <w:divBdr>
        <w:top w:val="none" w:sz="0" w:space="0" w:color="auto"/>
        <w:left w:val="none" w:sz="0" w:space="0" w:color="auto"/>
        <w:bottom w:val="none" w:sz="0" w:space="0" w:color="auto"/>
        <w:right w:val="none" w:sz="0" w:space="0" w:color="auto"/>
      </w:divBdr>
    </w:div>
    <w:div w:id="357002616">
      <w:bodyDiv w:val="1"/>
      <w:marLeft w:val="0"/>
      <w:marRight w:val="0"/>
      <w:marTop w:val="0"/>
      <w:marBottom w:val="0"/>
      <w:divBdr>
        <w:top w:val="none" w:sz="0" w:space="0" w:color="auto"/>
        <w:left w:val="none" w:sz="0" w:space="0" w:color="auto"/>
        <w:bottom w:val="none" w:sz="0" w:space="0" w:color="auto"/>
        <w:right w:val="none" w:sz="0" w:space="0" w:color="auto"/>
      </w:divBdr>
      <w:divsChild>
        <w:div w:id="1070884482">
          <w:marLeft w:val="0"/>
          <w:marRight w:val="0"/>
          <w:marTop w:val="15"/>
          <w:marBottom w:val="0"/>
          <w:divBdr>
            <w:top w:val="none" w:sz="0" w:space="0" w:color="auto"/>
            <w:left w:val="none" w:sz="0" w:space="0" w:color="auto"/>
            <w:bottom w:val="none" w:sz="0" w:space="0" w:color="auto"/>
            <w:right w:val="none" w:sz="0" w:space="0" w:color="auto"/>
          </w:divBdr>
          <w:divsChild>
            <w:div w:id="500699692">
              <w:marLeft w:val="0"/>
              <w:marRight w:val="0"/>
              <w:marTop w:val="0"/>
              <w:marBottom w:val="0"/>
              <w:divBdr>
                <w:top w:val="none" w:sz="0" w:space="0" w:color="auto"/>
                <w:left w:val="none" w:sz="0" w:space="0" w:color="auto"/>
                <w:bottom w:val="none" w:sz="0" w:space="0" w:color="auto"/>
                <w:right w:val="none" w:sz="0" w:space="0" w:color="auto"/>
              </w:divBdr>
              <w:divsChild>
                <w:div w:id="2124690981">
                  <w:marLeft w:val="0"/>
                  <w:marRight w:val="0"/>
                  <w:marTop w:val="0"/>
                  <w:marBottom w:val="0"/>
                  <w:divBdr>
                    <w:top w:val="none" w:sz="0" w:space="0" w:color="auto"/>
                    <w:left w:val="none" w:sz="0" w:space="0" w:color="auto"/>
                    <w:bottom w:val="none" w:sz="0" w:space="0" w:color="auto"/>
                    <w:right w:val="none" w:sz="0" w:space="0" w:color="auto"/>
                  </w:divBdr>
                </w:div>
                <w:div w:id="1323972312">
                  <w:marLeft w:val="0"/>
                  <w:marRight w:val="0"/>
                  <w:marTop w:val="0"/>
                  <w:marBottom w:val="0"/>
                  <w:divBdr>
                    <w:top w:val="none" w:sz="0" w:space="0" w:color="auto"/>
                    <w:left w:val="none" w:sz="0" w:space="0" w:color="auto"/>
                    <w:bottom w:val="none" w:sz="0" w:space="0" w:color="auto"/>
                    <w:right w:val="none" w:sz="0" w:space="0" w:color="auto"/>
                  </w:divBdr>
                </w:div>
                <w:div w:id="254634170">
                  <w:marLeft w:val="0"/>
                  <w:marRight w:val="0"/>
                  <w:marTop w:val="0"/>
                  <w:marBottom w:val="0"/>
                  <w:divBdr>
                    <w:top w:val="none" w:sz="0" w:space="0" w:color="auto"/>
                    <w:left w:val="none" w:sz="0" w:space="0" w:color="auto"/>
                    <w:bottom w:val="none" w:sz="0" w:space="0" w:color="auto"/>
                    <w:right w:val="none" w:sz="0" w:space="0" w:color="auto"/>
                  </w:divBdr>
                </w:div>
                <w:div w:id="1319961936">
                  <w:marLeft w:val="0"/>
                  <w:marRight w:val="0"/>
                  <w:marTop w:val="0"/>
                  <w:marBottom w:val="0"/>
                  <w:divBdr>
                    <w:top w:val="none" w:sz="0" w:space="0" w:color="auto"/>
                    <w:left w:val="none" w:sz="0" w:space="0" w:color="auto"/>
                    <w:bottom w:val="none" w:sz="0" w:space="0" w:color="auto"/>
                    <w:right w:val="none" w:sz="0" w:space="0" w:color="auto"/>
                  </w:divBdr>
                </w:div>
                <w:div w:id="1388990171">
                  <w:marLeft w:val="0"/>
                  <w:marRight w:val="0"/>
                  <w:marTop w:val="0"/>
                  <w:marBottom w:val="0"/>
                  <w:divBdr>
                    <w:top w:val="none" w:sz="0" w:space="0" w:color="auto"/>
                    <w:left w:val="none" w:sz="0" w:space="0" w:color="auto"/>
                    <w:bottom w:val="none" w:sz="0" w:space="0" w:color="auto"/>
                    <w:right w:val="none" w:sz="0" w:space="0" w:color="auto"/>
                  </w:divBdr>
                </w:div>
                <w:div w:id="980696126">
                  <w:marLeft w:val="0"/>
                  <w:marRight w:val="0"/>
                  <w:marTop w:val="0"/>
                  <w:marBottom w:val="0"/>
                  <w:divBdr>
                    <w:top w:val="none" w:sz="0" w:space="0" w:color="auto"/>
                    <w:left w:val="none" w:sz="0" w:space="0" w:color="auto"/>
                    <w:bottom w:val="none" w:sz="0" w:space="0" w:color="auto"/>
                    <w:right w:val="none" w:sz="0" w:space="0" w:color="auto"/>
                  </w:divBdr>
                </w:div>
                <w:div w:id="808669680">
                  <w:marLeft w:val="0"/>
                  <w:marRight w:val="0"/>
                  <w:marTop w:val="0"/>
                  <w:marBottom w:val="0"/>
                  <w:divBdr>
                    <w:top w:val="none" w:sz="0" w:space="0" w:color="auto"/>
                    <w:left w:val="none" w:sz="0" w:space="0" w:color="auto"/>
                    <w:bottom w:val="none" w:sz="0" w:space="0" w:color="auto"/>
                    <w:right w:val="none" w:sz="0" w:space="0" w:color="auto"/>
                  </w:divBdr>
                </w:div>
                <w:div w:id="2049261548">
                  <w:marLeft w:val="0"/>
                  <w:marRight w:val="0"/>
                  <w:marTop w:val="0"/>
                  <w:marBottom w:val="0"/>
                  <w:divBdr>
                    <w:top w:val="none" w:sz="0" w:space="0" w:color="auto"/>
                    <w:left w:val="none" w:sz="0" w:space="0" w:color="auto"/>
                    <w:bottom w:val="none" w:sz="0" w:space="0" w:color="auto"/>
                    <w:right w:val="none" w:sz="0" w:space="0" w:color="auto"/>
                  </w:divBdr>
                </w:div>
                <w:div w:id="1602301247">
                  <w:marLeft w:val="0"/>
                  <w:marRight w:val="0"/>
                  <w:marTop w:val="0"/>
                  <w:marBottom w:val="0"/>
                  <w:divBdr>
                    <w:top w:val="none" w:sz="0" w:space="0" w:color="auto"/>
                    <w:left w:val="none" w:sz="0" w:space="0" w:color="auto"/>
                    <w:bottom w:val="none" w:sz="0" w:space="0" w:color="auto"/>
                    <w:right w:val="none" w:sz="0" w:space="0" w:color="auto"/>
                  </w:divBdr>
                </w:div>
                <w:div w:id="1912740145">
                  <w:marLeft w:val="0"/>
                  <w:marRight w:val="0"/>
                  <w:marTop w:val="0"/>
                  <w:marBottom w:val="0"/>
                  <w:divBdr>
                    <w:top w:val="none" w:sz="0" w:space="0" w:color="auto"/>
                    <w:left w:val="none" w:sz="0" w:space="0" w:color="auto"/>
                    <w:bottom w:val="none" w:sz="0" w:space="0" w:color="auto"/>
                    <w:right w:val="none" w:sz="0" w:space="0" w:color="auto"/>
                  </w:divBdr>
                </w:div>
                <w:div w:id="1937789939">
                  <w:marLeft w:val="0"/>
                  <w:marRight w:val="0"/>
                  <w:marTop w:val="0"/>
                  <w:marBottom w:val="0"/>
                  <w:divBdr>
                    <w:top w:val="none" w:sz="0" w:space="0" w:color="auto"/>
                    <w:left w:val="none" w:sz="0" w:space="0" w:color="auto"/>
                    <w:bottom w:val="none" w:sz="0" w:space="0" w:color="auto"/>
                    <w:right w:val="none" w:sz="0" w:space="0" w:color="auto"/>
                  </w:divBdr>
                </w:div>
                <w:div w:id="754089217">
                  <w:marLeft w:val="0"/>
                  <w:marRight w:val="0"/>
                  <w:marTop w:val="0"/>
                  <w:marBottom w:val="0"/>
                  <w:divBdr>
                    <w:top w:val="none" w:sz="0" w:space="0" w:color="auto"/>
                    <w:left w:val="none" w:sz="0" w:space="0" w:color="auto"/>
                    <w:bottom w:val="none" w:sz="0" w:space="0" w:color="auto"/>
                    <w:right w:val="none" w:sz="0" w:space="0" w:color="auto"/>
                  </w:divBdr>
                </w:div>
                <w:div w:id="1274092125">
                  <w:marLeft w:val="0"/>
                  <w:marRight w:val="0"/>
                  <w:marTop w:val="0"/>
                  <w:marBottom w:val="0"/>
                  <w:divBdr>
                    <w:top w:val="none" w:sz="0" w:space="0" w:color="auto"/>
                    <w:left w:val="none" w:sz="0" w:space="0" w:color="auto"/>
                    <w:bottom w:val="none" w:sz="0" w:space="0" w:color="auto"/>
                    <w:right w:val="none" w:sz="0" w:space="0" w:color="auto"/>
                  </w:divBdr>
                </w:div>
                <w:div w:id="2146700209">
                  <w:marLeft w:val="0"/>
                  <w:marRight w:val="0"/>
                  <w:marTop w:val="0"/>
                  <w:marBottom w:val="0"/>
                  <w:divBdr>
                    <w:top w:val="none" w:sz="0" w:space="0" w:color="auto"/>
                    <w:left w:val="none" w:sz="0" w:space="0" w:color="auto"/>
                    <w:bottom w:val="none" w:sz="0" w:space="0" w:color="auto"/>
                    <w:right w:val="none" w:sz="0" w:space="0" w:color="auto"/>
                  </w:divBdr>
                </w:div>
                <w:div w:id="477847970">
                  <w:marLeft w:val="0"/>
                  <w:marRight w:val="0"/>
                  <w:marTop w:val="0"/>
                  <w:marBottom w:val="0"/>
                  <w:divBdr>
                    <w:top w:val="none" w:sz="0" w:space="0" w:color="auto"/>
                    <w:left w:val="none" w:sz="0" w:space="0" w:color="auto"/>
                    <w:bottom w:val="none" w:sz="0" w:space="0" w:color="auto"/>
                    <w:right w:val="none" w:sz="0" w:space="0" w:color="auto"/>
                  </w:divBdr>
                </w:div>
                <w:div w:id="582295940">
                  <w:marLeft w:val="0"/>
                  <w:marRight w:val="0"/>
                  <w:marTop w:val="0"/>
                  <w:marBottom w:val="0"/>
                  <w:divBdr>
                    <w:top w:val="none" w:sz="0" w:space="0" w:color="auto"/>
                    <w:left w:val="none" w:sz="0" w:space="0" w:color="auto"/>
                    <w:bottom w:val="none" w:sz="0" w:space="0" w:color="auto"/>
                    <w:right w:val="none" w:sz="0" w:space="0" w:color="auto"/>
                  </w:divBdr>
                </w:div>
                <w:div w:id="1399283250">
                  <w:marLeft w:val="0"/>
                  <w:marRight w:val="0"/>
                  <w:marTop w:val="0"/>
                  <w:marBottom w:val="0"/>
                  <w:divBdr>
                    <w:top w:val="none" w:sz="0" w:space="0" w:color="auto"/>
                    <w:left w:val="none" w:sz="0" w:space="0" w:color="auto"/>
                    <w:bottom w:val="none" w:sz="0" w:space="0" w:color="auto"/>
                    <w:right w:val="none" w:sz="0" w:space="0" w:color="auto"/>
                  </w:divBdr>
                </w:div>
                <w:div w:id="1164468483">
                  <w:marLeft w:val="0"/>
                  <w:marRight w:val="0"/>
                  <w:marTop w:val="0"/>
                  <w:marBottom w:val="0"/>
                  <w:divBdr>
                    <w:top w:val="none" w:sz="0" w:space="0" w:color="auto"/>
                    <w:left w:val="none" w:sz="0" w:space="0" w:color="auto"/>
                    <w:bottom w:val="none" w:sz="0" w:space="0" w:color="auto"/>
                    <w:right w:val="none" w:sz="0" w:space="0" w:color="auto"/>
                  </w:divBdr>
                </w:div>
                <w:div w:id="1748069424">
                  <w:marLeft w:val="0"/>
                  <w:marRight w:val="0"/>
                  <w:marTop w:val="0"/>
                  <w:marBottom w:val="0"/>
                  <w:divBdr>
                    <w:top w:val="none" w:sz="0" w:space="0" w:color="auto"/>
                    <w:left w:val="none" w:sz="0" w:space="0" w:color="auto"/>
                    <w:bottom w:val="none" w:sz="0" w:space="0" w:color="auto"/>
                    <w:right w:val="none" w:sz="0" w:space="0" w:color="auto"/>
                  </w:divBdr>
                </w:div>
                <w:div w:id="249240268">
                  <w:marLeft w:val="0"/>
                  <w:marRight w:val="0"/>
                  <w:marTop w:val="0"/>
                  <w:marBottom w:val="0"/>
                  <w:divBdr>
                    <w:top w:val="none" w:sz="0" w:space="0" w:color="auto"/>
                    <w:left w:val="none" w:sz="0" w:space="0" w:color="auto"/>
                    <w:bottom w:val="none" w:sz="0" w:space="0" w:color="auto"/>
                    <w:right w:val="none" w:sz="0" w:space="0" w:color="auto"/>
                  </w:divBdr>
                </w:div>
                <w:div w:id="460075753">
                  <w:marLeft w:val="0"/>
                  <w:marRight w:val="0"/>
                  <w:marTop w:val="0"/>
                  <w:marBottom w:val="0"/>
                  <w:divBdr>
                    <w:top w:val="none" w:sz="0" w:space="0" w:color="auto"/>
                    <w:left w:val="none" w:sz="0" w:space="0" w:color="auto"/>
                    <w:bottom w:val="none" w:sz="0" w:space="0" w:color="auto"/>
                    <w:right w:val="none" w:sz="0" w:space="0" w:color="auto"/>
                  </w:divBdr>
                </w:div>
                <w:div w:id="872574438">
                  <w:marLeft w:val="0"/>
                  <w:marRight w:val="0"/>
                  <w:marTop w:val="0"/>
                  <w:marBottom w:val="0"/>
                  <w:divBdr>
                    <w:top w:val="none" w:sz="0" w:space="0" w:color="auto"/>
                    <w:left w:val="none" w:sz="0" w:space="0" w:color="auto"/>
                    <w:bottom w:val="none" w:sz="0" w:space="0" w:color="auto"/>
                    <w:right w:val="none" w:sz="0" w:space="0" w:color="auto"/>
                  </w:divBdr>
                </w:div>
                <w:div w:id="862783642">
                  <w:marLeft w:val="0"/>
                  <w:marRight w:val="0"/>
                  <w:marTop w:val="0"/>
                  <w:marBottom w:val="0"/>
                  <w:divBdr>
                    <w:top w:val="none" w:sz="0" w:space="0" w:color="auto"/>
                    <w:left w:val="none" w:sz="0" w:space="0" w:color="auto"/>
                    <w:bottom w:val="none" w:sz="0" w:space="0" w:color="auto"/>
                    <w:right w:val="none" w:sz="0" w:space="0" w:color="auto"/>
                  </w:divBdr>
                </w:div>
                <w:div w:id="245846365">
                  <w:marLeft w:val="0"/>
                  <w:marRight w:val="0"/>
                  <w:marTop w:val="0"/>
                  <w:marBottom w:val="0"/>
                  <w:divBdr>
                    <w:top w:val="none" w:sz="0" w:space="0" w:color="auto"/>
                    <w:left w:val="none" w:sz="0" w:space="0" w:color="auto"/>
                    <w:bottom w:val="none" w:sz="0" w:space="0" w:color="auto"/>
                    <w:right w:val="none" w:sz="0" w:space="0" w:color="auto"/>
                  </w:divBdr>
                </w:div>
                <w:div w:id="62602867">
                  <w:marLeft w:val="0"/>
                  <w:marRight w:val="0"/>
                  <w:marTop w:val="0"/>
                  <w:marBottom w:val="0"/>
                  <w:divBdr>
                    <w:top w:val="none" w:sz="0" w:space="0" w:color="auto"/>
                    <w:left w:val="none" w:sz="0" w:space="0" w:color="auto"/>
                    <w:bottom w:val="none" w:sz="0" w:space="0" w:color="auto"/>
                    <w:right w:val="none" w:sz="0" w:space="0" w:color="auto"/>
                  </w:divBdr>
                </w:div>
                <w:div w:id="1262179156">
                  <w:marLeft w:val="0"/>
                  <w:marRight w:val="0"/>
                  <w:marTop w:val="0"/>
                  <w:marBottom w:val="0"/>
                  <w:divBdr>
                    <w:top w:val="none" w:sz="0" w:space="0" w:color="auto"/>
                    <w:left w:val="none" w:sz="0" w:space="0" w:color="auto"/>
                    <w:bottom w:val="none" w:sz="0" w:space="0" w:color="auto"/>
                    <w:right w:val="none" w:sz="0" w:space="0" w:color="auto"/>
                  </w:divBdr>
                </w:div>
                <w:div w:id="1694385053">
                  <w:marLeft w:val="0"/>
                  <w:marRight w:val="0"/>
                  <w:marTop w:val="0"/>
                  <w:marBottom w:val="0"/>
                  <w:divBdr>
                    <w:top w:val="none" w:sz="0" w:space="0" w:color="auto"/>
                    <w:left w:val="none" w:sz="0" w:space="0" w:color="auto"/>
                    <w:bottom w:val="none" w:sz="0" w:space="0" w:color="auto"/>
                    <w:right w:val="none" w:sz="0" w:space="0" w:color="auto"/>
                  </w:divBdr>
                </w:div>
                <w:div w:id="221447758">
                  <w:marLeft w:val="0"/>
                  <w:marRight w:val="0"/>
                  <w:marTop w:val="0"/>
                  <w:marBottom w:val="0"/>
                  <w:divBdr>
                    <w:top w:val="none" w:sz="0" w:space="0" w:color="auto"/>
                    <w:left w:val="none" w:sz="0" w:space="0" w:color="auto"/>
                    <w:bottom w:val="none" w:sz="0" w:space="0" w:color="auto"/>
                    <w:right w:val="none" w:sz="0" w:space="0" w:color="auto"/>
                  </w:divBdr>
                </w:div>
                <w:div w:id="2017421235">
                  <w:marLeft w:val="0"/>
                  <w:marRight w:val="0"/>
                  <w:marTop w:val="0"/>
                  <w:marBottom w:val="0"/>
                  <w:divBdr>
                    <w:top w:val="none" w:sz="0" w:space="0" w:color="auto"/>
                    <w:left w:val="none" w:sz="0" w:space="0" w:color="auto"/>
                    <w:bottom w:val="none" w:sz="0" w:space="0" w:color="auto"/>
                    <w:right w:val="none" w:sz="0" w:space="0" w:color="auto"/>
                  </w:divBdr>
                </w:div>
                <w:div w:id="1771076582">
                  <w:marLeft w:val="0"/>
                  <w:marRight w:val="0"/>
                  <w:marTop w:val="0"/>
                  <w:marBottom w:val="0"/>
                  <w:divBdr>
                    <w:top w:val="none" w:sz="0" w:space="0" w:color="auto"/>
                    <w:left w:val="none" w:sz="0" w:space="0" w:color="auto"/>
                    <w:bottom w:val="none" w:sz="0" w:space="0" w:color="auto"/>
                    <w:right w:val="none" w:sz="0" w:space="0" w:color="auto"/>
                  </w:divBdr>
                </w:div>
                <w:div w:id="1508591578">
                  <w:marLeft w:val="0"/>
                  <w:marRight w:val="0"/>
                  <w:marTop w:val="0"/>
                  <w:marBottom w:val="0"/>
                  <w:divBdr>
                    <w:top w:val="none" w:sz="0" w:space="0" w:color="auto"/>
                    <w:left w:val="none" w:sz="0" w:space="0" w:color="auto"/>
                    <w:bottom w:val="none" w:sz="0" w:space="0" w:color="auto"/>
                    <w:right w:val="none" w:sz="0" w:space="0" w:color="auto"/>
                  </w:divBdr>
                </w:div>
                <w:div w:id="166599906">
                  <w:marLeft w:val="0"/>
                  <w:marRight w:val="0"/>
                  <w:marTop w:val="0"/>
                  <w:marBottom w:val="0"/>
                  <w:divBdr>
                    <w:top w:val="none" w:sz="0" w:space="0" w:color="auto"/>
                    <w:left w:val="none" w:sz="0" w:space="0" w:color="auto"/>
                    <w:bottom w:val="none" w:sz="0" w:space="0" w:color="auto"/>
                    <w:right w:val="none" w:sz="0" w:space="0" w:color="auto"/>
                  </w:divBdr>
                </w:div>
                <w:div w:id="591474681">
                  <w:marLeft w:val="0"/>
                  <w:marRight w:val="0"/>
                  <w:marTop w:val="0"/>
                  <w:marBottom w:val="0"/>
                  <w:divBdr>
                    <w:top w:val="none" w:sz="0" w:space="0" w:color="auto"/>
                    <w:left w:val="none" w:sz="0" w:space="0" w:color="auto"/>
                    <w:bottom w:val="none" w:sz="0" w:space="0" w:color="auto"/>
                    <w:right w:val="none" w:sz="0" w:space="0" w:color="auto"/>
                  </w:divBdr>
                </w:div>
                <w:div w:id="50858363">
                  <w:marLeft w:val="0"/>
                  <w:marRight w:val="0"/>
                  <w:marTop w:val="0"/>
                  <w:marBottom w:val="0"/>
                  <w:divBdr>
                    <w:top w:val="none" w:sz="0" w:space="0" w:color="auto"/>
                    <w:left w:val="none" w:sz="0" w:space="0" w:color="auto"/>
                    <w:bottom w:val="none" w:sz="0" w:space="0" w:color="auto"/>
                    <w:right w:val="none" w:sz="0" w:space="0" w:color="auto"/>
                  </w:divBdr>
                </w:div>
                <w:div w:id="768817790">
                  <w:marLeft w:val="0"/>
                  <w:marRight w:val="0"/>
                  <w:marTop w:val="0"/>
                  <w:marBottom w:val="0"/>
                  <w:divBdr>
                    <w:top w:val="none" w:sz="0" w:space="0" w:color="auto"/>
                    <w:left w:val="none" w:sz="0" w:space="0" w:color="auto"/>
                    <w:bottom w:val="none" w:sz="0" w:space="0" w:color="auto"/>
                    <w:right w:val="none" w:sz="0" w:space="0" w:color="auto"/>
                  </w:divBdr>
                </w:div>
                <w:div w:id="279650445">
                  <w:marLeft w:val="0"/>
                  <w:marRight w:val="0"/>
                  <w:marTop w:val="0"/>
                  <w:marBottom w:val="0"/>
                  <w:divBdr>
                    <w:top w:val="none" w:sz="0" w:space="0" w:color="auto"/>
                    <w:left w:val="none" w:sz="0" w:space="0" w:color="auto"/>
                    <w:bottom w:val="none" w:sz="0" w:space="0" w:color="auto"/>
                    <w:right w:val="none" w:sz="0" w:space="0" w:color="auto"/>
                  </w:divBdr>
                </w:div>
                <w:div w:id="1173881106">
                  <w:marLeft w:val="0"/>
                  <w:marRight w:val="0"/>
                  <w:marTop w:val="0"/>
                  <w:marBottom w:val="0"/>
                  <w:divBdr>
                    <w:top w:val="none" w:sz="0" w:space="0" w:color="auto"/>
                    <w:left w:val="none" w:sz="0" w:space="0" w:color="auto"/>
                    <w:bottom w:val="none" w:sz="0" w:space="0" w:color="auto"/>
                    <w:right w:val="none" w:sz="0" w:space="0" w:color="auto"/>
                  </w:divBdr>
                </w:div>
                <w:div w:id="144903953">
                  <w:marLeft w:val="0"/>
                  <w:marRight w:val="0"/>
                  <w:marTop w:val="0"/>
                  <w:marBottom w:val="0"/>
                  <w:divBdr>
                    <w:top w:val="none" w:sz="0" w:space="0" w:color="auto"/>
                    <w:left w:val="none" w:sz="0" w:space="0" w:color="auto"/>
                    <w:bottom w:val="none" w:sz="0" w:space="0" w:color="auto"/>
                    <w:right w:val="none" w:sz="0" w:space="0" w:color="auto"/>
                  </w:divBdr>
                </w:div>
                <w:div w:id="7801819">
                  <w:marLeft w:val="0"/>
                  <w:marRight w:val="0"/>
                  <w:marTop w:val="0"/>
                  <w:marBottom w:val="0"/>
                  <w:divBdr>
                    <w:top w:val="none" w:sz="0" w:space="0" w:color="auto"/>
                    <w:left w:val="none" w:sz="0" w:space="0" w:color="auto"/>
                    <w:bottom w:val="none" w:sz="0" w:space="0" w:color="auto"/>
                    <w:right w:val="none" w:sz="0" w:space="0" w:color="auto"/>
                  </w:divBdr>
                </w:div>
                <w:div w:id="1241528072">
                  <w:marLeft w:val="0"/>
                  <w:marRight w:val="0"/>
                  <w:marTop w:val="0"/>
                  <w:marBottom w:val="0"/>
                  <w:divBdr>
                    <w:top w:val="none" w:sz="0" w:space="0" w:color="auto"/>
                    <w:left w:val="none" w:sz="0" w:space="0" w:color="auto"/>
                    <w:bottom w:val="none" w:sz="0" w:space="0" w:color="auto"/>
                    <w:right w:val="none" w:sz="0" w:space="0" w:color="auto"/>
                  </w:divBdr>
                </w:div>
                <w:div w:id="950746925">
                  <w:marLeft w:val="0"/>
                  <w:marRight w:val="0"/>
                  <w:marTop w:val="0"/>
                  <w:marBottom w:val="0"/>
                  <w:divBdr>
                    <w:top w:val="none" w:sz="0" w:space="0" w:color="auto"/>
                    <w:left w:val="none" w:sz="0" w:space="0" w:color="auto"/>
                    <w:bottom w:val="none" w:sz="0" w:space="0" w:color="auto"/>
                    <w:right w:val="none" w:sz="0" w:space="0" w:color="auto"/>
                  </w:divBdr>
                </w:div>
                <w:div w:id="1276210252">
                  <w:marLeft w:val="0"/>
                  <w:marRight w:val="0"/>
                  <w:marTop w:val="0"/>
                  <w:marBottom w:val="0"/>
                  <w:divBdr>
                    <w:top w:val="none" w:sz="0" w:space="0" w:color="auto"/>
                    <w:left w:val="none" w:sz="0" w:space="0" w:color="auto"/>
                    <w:bottom w:val="none" w:sz="0" w:space="0" w:color="auto"/>
                    <w:right w:val="none" w:sz="0" w:space="0" w:color="auto"/>
                  </w:divBdr>
                </w:div>
                <w:div w:id="934480611">
                  <w:marLeft w:val="0"/>
                  <w:marRight w:val="0"/>
                  <w:marTop w:val="0"/>
                  <w:marBottom w:val="0"/>
                  <w:divBdr>
                    <w:top w:val="none" w:sz="0" w:space="0" w:color="auto"/>
                    <w:left w:val="none" w:sz="0" w:space="0" w:color="auto"/>
                    <w:bottom w:val="none" w:sz="0" w:space="0" w:color="auto"/>
                    <w:right w:val="none" w:sz="0" w:space="0" w:color="auto"/>
                  </w:divBdr>
                </w:div>
                <w:div w:id="630206203">
                  <w:marLeft w:val="0"/>
                  <w:marRight w:val="0"/>
                  <w:marTop w:val="0"/>
                  <w:marBottom w:val="0"/>
                  <w:divBdr>
                    <w:top w:val="none" w:sz="0" w:space="0" w:color="auto"/>
                    <w:left w:val="none" w:sz="0" w:space="0" w:color="auto"/>
                    <w:bottom w:val="none" w:sz="0" w:space="0" w:color="auto"/>
                    <w:right w:val="none" w:sz="0" w:space="0" w:color="auto"/>
                  </w:divBdr>
                </w:div>
                <w:div w:id="1722436167">
                  <w:marLeft w:val="0"/>
                  <w:marRight w:val="0"/>
                  <w:marTop w:val="0"/>
                  <w:marBottom w:val="0"/>
                  <w:divBdr>
                    <w:top w:val="none" w:sz="0" w:space="0" w:color="auto"/>
                    <w:left w:val="none" w:sz="0" w:space="0" w:color="auto"/>
                    <w:bottom w:val="none" w:sz="0" w:space="0" w:color="auto"/>
                    <w:right w:val="none" w:sz="0" w:space="0" w:color="auto"/>
                  </w:divBdr>
                </w:div>
                <w:div w:id="673990543">
                  <w:marLeft w:val="0"/>
                  <w:marRight w:val="0"/>
                  <w:marTop w:val="0"/>
                  <w:marBottom w:val="0"/>
                  <w:divBdr>
                    <w:top w:val="none" w:sz="0" w:space="0" w:color="auto"/>
                    <w:left w:val="none" w:sz="0" w:space="0" w:color="auto"/>
                    <w:bottom w:val="none" w:sz="0" w:space="0" w:color="auto"/>
                    <w:right w:val="none" w:sz="0" w:space="0" w:color="auto"/>
                  </w:divBdr>
                </w:div>
                <w:div w:id="1542591222">
                  <w:marLeft w:val="0"/>
                  <w:marRight w:val="0"/>
                  <w:marTop w:val="0"/>
                  <w:marBottom w:val="0"/>
                  <w:divBdr>
                    <w:top w:val="none" w:sz="0" w:space="0" w:color="auto"/>
                    <w:left w:val="none" w:sz="0" w:space="0" w:color="auto"/>
                    <w:bottom w:val="none" w:sz="0" w:space="0" w:color="auto"/>
                    <w:right w:val="none" w:sz="0" w:space="0" w:color="auto"/>
                  </w:divBdr>
                </w:div>
                <w:div w:id="164030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22041">
      <w:bodyDiv w:val="1"/>
      <w:marLeft w:val="0"/>
      <w:marRight w:val="0"/>
      <w:marTop w:val="0"/>
      <w:marBottom w:val="0"/>
      <w:divBdr>
        <w:top w:val="none" w:sz="0" w:space="0" w:color="auto"/>
        <w:left w:val="none" w:sz="0" w:space="0" w:color="auto"/>
        <w:bottom w:val="none" w:sz="0" w:space="0" w:color="auto"/>
        <w:right w:val="none" w:sz="0" w:space="0" w:color="auto"/>
      </w:divBdr>
      <w:divsChild>
        <w:div w:id="695429990">
          <w:marLeft w:val="0"/>
          <w:marRight w:val="0"/>
          <w:marTop w:val="0"/>
          <w:marBottom w:val="0"/>
          <w:divBdr>
            <w:top w:val="none" w:sz="0" w:space="0" w:color="auto"/>
            <w:left w:val="none" w:sz="0" w:space="0" w:color="auto"/>
            <w:bottom w:val="none" w:sz="0" w:space="0" w:color="auto"/>
            <w:right w:val="none" w:sz="0" w:space="0" w:color="auto"/>
          </w:divBdr>
        </w:div>
        <w:div w:id="1546018027">
          <w:marLeft w:val="0"/>
          <w:marRight w:val="0"/>
          <w:marTop w:val="0"/>
          <w:marBottom w:val="0"/>
          <w:divBdr>
            <w:top w:val="none" w:sz="0" w:space="0" w:color="auto"/>
            <w:left w:val="none" w:sz="0" w:space="0" w:color="auto"/>
            <w:bottom w:val="none" w:sz="0" w:space="0" w:color="auto"/>
            <w:right w:val="none" w:sz="0" w:space="0" w:color="auto"/>
          </w:divBdr>
        </w:div>
        <w:div w:id="1294823803">
          <w:marLeft w:val="0"/>
          <w:marRight w:val="0"/>
          <w:marTop w:val="0"/>
          <w:marBottom w:val="0"/>
          <w:divBdr>
            <w:top w:val="none" w:sz="0" w:space="0" w:color="auto"/>
            <w:left w:val="none" w:sz="0" w:space="0" w:color="auto"/>
            <w:bottom w:val="none" w:sz="0" w:space="0" w:color="auto"/>
            <w:right w:val="none" w:sz="0" w:space="0" w:color="auto"/>
          </w:divBdr>
        </w:div>
      </w:divsChild>
    </w:div>
    <w:div w:id="469978089">
      <w:bodyDiv w:val="1"/>
      <w:marLeft w:val="0"/>
      <w:marRight w:val="0"/>
      <w:marTop w:val="0"/>
      <w:marBottom w:val="0"/>
      <w:divBdr>
        <w:top w:val="none" w:sz="0" w:space="0" w:color="auto"/>
        <w:left w:val="none" w:sz="0" w:space="0" w:color="auto"/>
        <w:bottom w:val="none" w:sz="0" w:space="0" w:color="auto"/>
        <w:right w:val="none" w:sz="0" w:space="0" w:color="auto"/>
      </w:divBdr>
    </w:div>
    <w:div w:id="600645732">
      <w:bodyDiv w:val="1"/>
      <w:marLeft w:val="0"/>
      <w:marRight w:val="0"/>
      <w:marTop w:val="0"/>
      <w:marBottom w:val="0"/>
      <w:divBdr>
        <w:top w:val="none" w:sz="0" w:space="0" w:color="auto"/>
        <w:left w:val="none" w:sz="0" w:space="0" w:color="auto"/>
        <w:bottom w:val="none" w:sz="0" w:space="0" w:color="auto"/>
        <w:right w:val="none" w:sz="0" w:space="0" w:color="auto"/>
      </w:divBdr>
    </w:div>
    <w:div w:id="732392644">
      <w:bodyDiv w:val="1"/>
      <w:marLeft w:val="0"/>
      <w:marRight w:val="0"/>
      <w:marTop w:val="0"/>
      <w:marBottom w:val="0"/>
      <w:divBdr>
        <w:top w:val="none" w:sz="0" w:space="0" w:color="auto"/>
        <w:left w:val="none" w:sz="0" w:space="0" w:color="auto"/>
        <w:bottom w:val="none" w:sz="0" w:space="0" w:color="auto"/>
        <w:right w:val="none" w:sz="0" w:space="0" w:color="auto"/>
      </w:divBdr>
    </w:div>
    <w:div w:id="779491439">
      <w:bodyDiv w:val="1"/>
      <w:marLeft w:val="0"/>
      <w:marRight w:val="0"/>
      <w:marTop w:val="0"/>
      <w:marBottom w:val="0"/>
      <w:divBdr>
        <w:top w:val="none" w:sz="0" w:space="0" w:color="auto"/>
        <w:left w:val="none" w:sz="0" w:space="0" w:color="auto"/>
        <w:bottom w:val="none" w:sz="0" w:space="0" w:color="auto"/>
        <w:right w:val="none" w:sz="0" w:space="0" w:color="auto"/>
      </w:divBdr>
      <w:divsChild>
        <w:div w:id="682897545">
          <w:marLeft w:val="0"/>
          <w:marRight w:val="0"/>
          <w:marTop w:val="0"/>
          <w:marBottom w:val="0"/>
          <w:divBdr>
            <w:top w:val="none" w:sz="0" w:space="0" w:color="auto"/>
            <w:left w:val="none" w:sz="0" w:space="0" w:color="auto"/>
            <w:bottom w:val="none" w:sz="0" w:space="0" w:color="auto"/>
            <w:right w:val="none" w:sz="0" w:space="0" w:color="auto"/>
          </w:divBdr>
        </w:div>
        <w:div w:id="541674660">
          <w:marLeft w:val="0"/>
          <w:marRight w:val="0"/>
          <w:marTop w:val="0"/>
          <w:marBottom w:val="0"/>
          <w:divBdr>
            <w:top w:val="none" w:sz="0" w:space="0" w:color="auto"/>
            <w:left w:val="none" w:sz="0" w:space="0" w:color="auto"/>
            <w:bottom w:val="none" w:sz="0" w:space="0" w:color="auto"/>
            <w:right w:val="none" w:sz="0" w:space="0" w:color="auto"/>
          </w:divBdr>
        </w:div>
        <w:div w:id="1328708709">
          <w:marLeft w:val="0"/>
          <w:marRight w:val="0"/>
          <w:marTop w:val="0"/>
          <w:marBottom w:val="0"/>
          <w:divBdr>
            <w:top w:val="none" w:sz="0" w:space="0" w:color="auto"/>
            <w:left w:val="none" w:sz="0" w:space="0" w:color="auto"/>
            <w:bottom w:val="none" w:sz="0" w:space="0" w:color="auto"/>
            <w:right w:val="none" w:sz="0" w:space="0" w:color="auto"/>
          </w:divBdr>
        </w:div>
        <w:div w:id="1241480952">
          <w:marLeft w:val="0"/>
          <w:marRight w:val="0"/>
          <w:marTop w:val="0"/>
          <w:marBottom w:val="0"/>
          <w:divBdr>
            <w:top w:val="none" w:sz="0" w:space="0" w:color="auto"/>
            <w:left w:val="none" w:sz="0" w:space="0" w:color="auto"/>
            <w:bottom w:val="none" w:sz="0" w:space="0" w:color="auto"/>
            <w:right w:val="none" w:sz="0" w:space="0" w:color="auto"/>
          </w:divBdr>
        </w:div>
        <w:div w:id="580257369">
          <w:marLeft w:val="0"/>
          <w:marRight w:val="0"/>
          <w:marTop w:val="0"/>
          <w:marBottom w:val="0"/>
          <w:divBdr>
            <w:top w:val="none" w:sz="0" w:space="0" w:color="auto"/>
            <w:left w:val="none" w:sz="0" w:space="0" w:color="auto"/>
            <w:bottom w:val="none" w:sz="0" w:space="0" w:color="auto"/>
            <w:right w:val="none" w:sz="0" w:space="0" w:color="auto"/>
          </w:divBdr>
        </w:div>
        <w:div w:id="535823440">
          <w:marLeft w:val="0"/>
          <w:marRight w:val="0"/>
          <w:marTop w:val="0"/>
          <w:marBottom w:val="0"/>
          <w:divBdr>
            <w:top w:val="none" w:sz="0" w:space="0" w:color="auto"/>
            <w:left w:val="none" w:sz="0" w:space="0" w:color="auto"/>
            <w:bottom w:val="none" w:sz="0" w:space="0" w:color="auto"/>
            <w:right w:val="none" w:sz="0" w:space="0" w:color="auto"/>
          </w:divBdr>
        </w:div>
        <w:div w:id="221673692">
          <w:marLeft w:val="0"/>
          <w:marRight w:val="0"/>
          <w:marTop w:val="0"/>
          <w:marBottom w:val="0"/>
          <w:divBdr>
            <w:top w:val="none" w:sz="0" w:space="0" w:color="auto"/>
            <w:left w:val="none" w:sz="0" w:space="0" w:color="auto"/>
            <w:bottom w:val="none" w:sz="0" w:space="0" w:color="auto"/>
            <w:right w:val="none" w:sz="0" w:space="0" w:color="auto"/>
          </w:divBdr>
        </w:div>
        <w:div w:id="971711579">
          <w:marLeft w:val="0"/>
          <w:marRight w:val="0"/>
          <w:marTop w:val="0"/>
          <w:marBottom w:val="0"/>
          <w:divBdr>
            <w:top w:val="none" w:sz="0" w:space="0" w:color="auto"/>
            <w:left w:val="none" w:sz="0" w:space="0" w:color="auto"/>
            <w:bottom w:val="none" w:sz="0" w:space="0" w:color="auto"/>
            <w:right w:val="none" w:sz="0" w:space="0" w:color="auto"/>
          </w:divBdr>
        </w:div>
        <w:div w:id="1235051124">
          <w:marLeft w:val="0"/>
          <w:marRight w:val="0"/>
          <w:marTop w:val="0"/>
          <w:marBottom w:val="0"/>
          <w:divBdr>
            <w:top w:val="none" w:sz="0" w:space="0" w:color="auto"/>
            <w:left w:val="none" w:sz="0" w:space="0" w:color="auto"/>
            <w:bottom w:val="none" w:sz="0" w:space="0" w:color="auto"/>
            <w:right w:val="none" w:sz="0" w:space="0" w:color="auto"/>
          </w:divBdr>
        </w:div>
      </w:divsChild>
    </w:div>
    <w:div w:id="810361823">
      <w:bodyDiv w:val="1"/>
      <w:marLeft w:val="0"/>
      <w:marRight w:val="0"/>
      <w:marTop w:val="0"/>
      <w:marBottom w:val="0"/>
      <w:divBdr>
        <w:top w:val="none" w:sz="0" w:space="0" w:color="auto"/>
        <w:left w:val="none" w:sz="0" w:space="0" w:color="auto"/>
        <w:bottom w:val="none" w:sz="0" w:space="0" w:color="auto"/>
        <w:right w:val="none" w:sz="0" w:space="0" w:color="auto"/>
      </w:divBdr>
    </w:div>
    <w:div w:id="812411553">
      <w:bodyDiv w:val="1"/>
      <w:marLeft w:val="0"/>
      <w:marRight w:val="0"/>
      <w:marTop w:val="0"/>
      <w:marBottom w:val="0"/>
      <w:divBdr>
        <w:top w:val="none" w:sz="0" w:space="0" w:color="auto"/>
        <w:left w:val="none" w:sz="0" w:space="0" w:color="auto"/>
        <w:bottom w:val="none" w:sz="0" w:space="0" w:color="auto"/>
        <w:right w:val="none" w:sz="0" w:space="0" w:color="auto"/>
      </w:divBdr>
    </w:div>
    <w:div w:id="860051912">
      <w:bodyDiv w:val="1"/>
      <w:marLeft w:val="0"/>
      <w:marRight w:val="0"/>
      <w:marTop w:val="0"/>
      <w:marBottom w:val="0"/>
      <w:divBdr>
        <w:top w:val="none" w:sz="0" w:space="0" w:color="auto"/>
        <w:left w:val="none" w:sz="0" w:space="0" w:color="auto"/>
        <w:bottom w:val="none" w:sz="0" w:space="0" w:color="auto"/>
        <w:right w:val="none" w:sz="0" w:space="0" w:color="auto"/>
      </w:divBdr>
    </w:div>
    <w:div w:id="985814481">
      <w:bodyDiv w:val="1"/>
      <w:marLeft w:val="0"/>
      <w:marRight w:val="0"/>
      <w:marTop w:val="0"/>
      <w:marBottom w:val="0"/>
      <w:divBdr>
        <w:top w:val="none" w:sz="0" w:space="0" w:color="auto"/>
        <w:left w:val="none" w:sz="0" w:space="0" w:color="auto"/>
        <w:bottom w:val="none" w:sz="0" w:space="0" w:color="auto"/>
        <w:right w:val="none" w:sz="0" w:space="0" w:color="auto"/>
      </w:divBdr>
    </w:div>
    <w:div w:id="1031105888">
      <w:bodyDiv w:val="1"/>
      <w:marLeft w:val="0"/>
      <w:marRight w:val="0"/>
      <w:marTop w:val="0"/>
      <w:marBottom w:val="0"/>
      <w:divBdr>
        <w:top w:val="none" w:sz="0" w:space="0" w:color="auto"/>
        <w:left w:val="none" w:sz="0" w:space="0" w:color="auto"/>
        <w:bottom w:val="none" w:sz="0" w:space="0" w:color="auto"/>
        <w:right w:val="none" w:sz="0" w:space="0" w:color="auto"/>
      </w:divBdr>
    </w:div>
    <w:div w:id="1134375069">
      <w:bodyDiv w:val="1"/>
      <w:marLeft w:val="0"/>
      <w:marRight w:val="0"/>
      <w:marTop w:val="0"/>
      <w:marBottom w:val="0"/>
      <w:divBdr>
        <w:top w:val="none" w:sz="0" w:space="0" w:color="auto"/>
        <w:left w:val="none" w:sz="0" w:space="0" w:color="auto"/>
        <w:bottom w:val="none" w:sz="0" w:space="0" w:color="auto"/>
        <w:right w:val="none" w:sz="0" w:space="0" w:color="auto"/>
      </w:divBdr>
    </w:div>
    <w:div w:id="1167287561">
      <w:bodyDiv w:val="1"/>
      <w:marLeft w:val="0"/>
      <w:marRight w:val="0"/>
      <w:marTop w:val="0"/>
      <w:marBottom w:val="0"/>
      <w:divBdr>
        <w:top w:val="none" w:sz="0" w:space="0" w:color="auto"/>
        <w:left w:val="none" w:sz="0" w:space="0" w:color="auto"/>
        <w:bottom w:val="none" w:sz="0" w:space="0" w:color="auto"/>
        <w:right w:val="none" w:sz="0" w:space="0" w:color="auto"/>
      </w:divBdr>
    </w:div>
    <w:div w:id="1222666925">
      <w:bodyDiv w:val="1"/>
      <w:marLeft w:val="0"/>
      <w:marRight w:val="0"/>
      <w:marTop w:val="0"/>
      <w:marBottom w:val="0"/>
      <w:divBdr>
        <w:top w:val="none" w:sz="0" w:space="0" w:color="auto"/>
        <w:left w:val="none" w:sz="0" w:space="0" w:color="auto"/>
        <w:bottom w:val="none" w:sz="0" w:space="0" w:color="auto"/>
        <w:right w:val="none" w:sz="0" w:space="0" w:color="auto"/>
      </w:divBdr>
    </w:div>
    <w:div w:id="1329408005">
      <w:bodyDiv w:val="1"/>
      <w:marLeft w:val="0"/>
      <w:marRight w:val="0"/>
      <w:marTop w:val="0"/>
      <w:marBottom w:val="0"/>
      <w:divBdr>
        <w:top w:val="none" w:sz="0" w:space="0" w:color="auto"/>
        <w:left w:val="none" w:sz="0" w:space="0" w:color="auto"/>
        <w:bottom w:val="none" w:sz="0" w:space="0" w:color="auto"/>
        <w:right w:val="none" w:sz="0" w:space="0" w:color="auto"/>
      </w:divBdr>
    </w:div>
    <w:div w:id="1538812027">
      <w:bodyDiv w:val="1"/>
      <w:marLeft w:val="0"/>
      <w:marRight w:val="0"/>
      <w:marTop w:val="0"/>
      <w:marBottom w:val="0"/>
      <w:divBdr>
        <w:top w:val="none" w:sz="0" w:space="0" w:color="auto"/>
        <w:left w:val="none" w:sz="0" w:space="0" w:color="auto"/>
        <w:bottom w:val="none" w:sz="0" w:space="0" w:color="auto"/>
        <w:right w:val="none" w:sz="0" w:space="0" w:color="auto"/>
      </w:divBdr>
    </w:div>
    <w:div w:id="1552961758">
      <w:bodyDiv w:val="1"/>
      <w:marLeft w:val="0"/>
      <w:marRight w:val="0"/>
      <w:marTop w:val="0"/>
      <w:marBottom w:val="0"/>
      <w:divBdr>
        <w:top w:val="none" w:sz="0" w:space="0" w:color="auto"/>
        <w:left w:val="none" w:sz="0" w:space="0" w:color="auto"/>
        <w:bottom w:val="none" w:sz="0" w:space="0" w:color="auto"/>
        <w:right w:val="none" w:sz="0" w:space="0" w:color="auto"/>
      </w:divBdr>
    </w:div>
    <w:div w:id="1686131876">
      <w:bodyDiv w:val="1"/>
      <w:marLeft w:val="0"/>
      <w:marRight w:val="0"/>
      <w:marTop w:val="0"/>
      <w:marBottom w:val="0"/>
      <w:divBdr>
        <w:top w:val="none" w:sz="0" w:space="0" w:color="auto"/>
        <w:left w:val="none" w:sz="0" w:space="0" w:color="auto"/>
        <w:bottom w:val="none" w:sz="0" w:space="0" w:color="auto"/>
        <w:right w:val="none" w:sz="0" w:space="0" w:color="auto"/>
      </w:divBdr>
      <w:divsChild>
        <w:div w:id="1523590225">
          <w:marLeft w:val="0"/>
          <w:marRight w:val="0"/>
          <w:marTop w:val="0"/>
          <w:marBottom w:val="0"/>
          <w:divBdr>
            <w:top w:val="none" w:sz="0" w:space="0" w:color="auto"/>
            <w:left w:val="none" w:sz="0" w:space="0" w:color="auto"/>
            <w:bottom w:val="none" w:sz="0" w:space="0" w:color="auto"/>
            <w:right w:val="none" w:sz="0" w:space="0" w:color="auto"/>
          </w:divBdr>
        </w:div>
        <w:div w:id="1113327074">
          <w:marLeft w:val="0"/>
          <w:marRight w:val="0"/>
          <w:marTop w:val="0"/>
          <w:marBottom w:val="0"/>
          <w:divBdr>
            <w:top w:val="none" w:sz="0" w:space="0" w:color="auto"/>
            <w:left w:val="none" w:sz="0" w:space="0" w:color="auto"/>
            <w:bottom w:val="none" w:sz="0" w:space="0" w:color="auto"/>
            <w:right w:val="none" w:sz="0" w:space="0" w:color="auto"/>
          </w:divBdr>
        </w:div>
        <w:div w:id="952203818">
          <w:marLeft w:val="0"/>
          <w:marRight w:val="0"/>
          <w:marTop w:val="0"/>
          <w:marBottom w:val="0"/>
          <w:divBdr>
            <w:top w:val="none" w:sz="0" w:space="0" w:color="auto"/>
            <w:left w:val="none" w:sz="0" w:space="0" w:color="auto"/>
            <w:bottom w:val="none" w:sz="0" w:space="0" w:color="auto"/>
            <w:right w:val="none" w:sz="0" w:space="0" w:color="auto"/>
          </w:divBdr>
        </w:div>
        <w:div w:id="932593208">
          <w:marLeft w:val="0"/>
          <w:marRight w:val="0"/>
          <w:marTop w:val="0"/>
          <w:marBottom w:val="0"/>
          <w:divBdr>
            <w:top w:val="none" w:sz="0" w:space="0" w:color="auto"/>
            <w:left w:val="none" w:sz="0" w:space="0" w:color="auto"/>
            <w:bottom w:val="none" w:sz="0" w:space="0" w:color="auto"/>
            <w:right w:val="none" w:sz="0" w:space="0" w:color="auto"/>
          </w:divBdr>
        </w:div>
        <w:div w:id="1991669550">
          <w:marLeft w:val="0"/>
          <w:marRight w:val="0"/>
          <w:marTop w:val="0"/>
          <w:marBottom w:val="0"/>
          <w:divBdr>
            <w:top w:val="none" w:sz="0" w:space="0" w:color="auto"/>
            <w:left w:val="none" w:sz="0" w:space="0" w:color="auto"/>
            <w:bottom w:val="none" w:sz="0" w:space="0" w:color="auto"/>
            <w:right w:val="none" w:sz="0" w:space="0" w:color="auto"/>
          </w:divBdr>
        </w:div>
        <w:div w:id="975716954">
          <w:marLeft w:val="0"/>
          <w:marRight w:val="0"/>
          <w:marTop w:val="0"/>
          <w:marBottom w:val="0"/>
          <w:divBdr>
            <w:top w:val="none" w:sz="0" w:space="0" w:color="auto"/>
            <w:left w:val="none" w:sz="0" w:space="0" w:color="auto"/>
            <w:bottom w:val="none" w:sz="0" w:space="0" w:color="auto"/>
            <w:right w:val="none" w:sz="0" w:space="0" w:color="auto"/>
          </w:divBdr>
        </w:div>
        <w:div w:id="51928026">
          <w:marLeft w:val="0"/>
          <w:marRight w:val="0"/>
          <w:marTop w:val="0"/>
          <w:marBottom w:val="0"/>
          <w:divBdr>
            <w:top w:val="none" w:sz="0" w:space="0" w:color="auto"/>
            <w:left w:val="none" w:sz="0" w:space="0" w:color="auto"/>
            <w:bottom w:val="none" w:sz="0" w:space="0" w:color="auto"/>
            <w:right w:val="none" w:sz="0" w:space="0" w:color="auto"/>
          </w:divBdr>
        </w:div>
        <w:div w:id="1866287238">
          <w:marLeft w:val="0"/>
          <w:marRight w:val="0"/>
          <w:marTop w:val="0"/>
          <w:marBottom w:val="0"/>
          <w:divBdr>
            <w:top w:val="none" w:sz="0" w:space="0" w:color="auto"/>
            <w:left w:val="none" w:sz="0" w:space="0" w:color="auto"/>
            <w:bottom w:val="none" w:sz="0" w:space="0" w:color="auto"/>
            <w:right w:val="none" w:sz="0" w:space="0" w:color="auto"/>
          </w:divBdr>
        </w:div>
        <w:div w:id="1382628746">
          <w:marLeft w:val="0"/>
          <w:marRight w:val="0"/>
          <w:marTop w:val="0"/>
          <w:marBottom w:val="0"/>
          <w:divBdr>
            <w:top w:val="none" w:sz="0" w:space="0" w:color="auto"/>
            <w:left w:val="none" w:sz="0" w:space="0" w:color="auto"/>
            <w:bottom w:val="none" w:sz="0" w:space="0" w:color="auto"/>
            <w:right w:val="none" w:sz="0" w:space="0" w:color="auto"/>
          </w:divBdr>
        </w:div>
        <w:div w:id="2007855034">
          <w:marLeft w:val="0"/>
          <w:marRight w:val="0"/>
          <w:marTop w:val="0"/>
          <w:marBottom w:val="0"/>
          <w:divBdr>
            <w:top w:val="none" w:sz="0" w:space="0" w:color="auto"/>
            <w:left w:val="none" w:sz="0" w:space="0" w:color="auto"/>
            <w:bottom w:val="none" w:sz="0" w:space="0" w:color="auto"/>
            <w:right w:val="none" w:sz="0" w:space="0" w:color="auto"/>
          </w:divBdr>
        </w:div>
      </w:divsChild>
    </w:div>
    <w:div w:id="1689524881">
      <w:bodyDiv w:val="1"/>
      <w:marLeft w:val="0"/>
      <w:marRight w:val="0"/>
      <w:marTop w:val="0"/>
      <w:marBottom w:val="0"/>
      <w:divBdr>
        <w:top w:val="none" w:sz="0" w:space="0" w:color="auto"/>
        <w:left w:val="none" w:sz="0" w:space="0" w:color="auto"/>
        <w:bottom w:val="none" w:sz="0" w:space="0" w:color="auto"/>
        <w:right w:val="none" w:sz="0" w:space="0" w:color="auto"/>
      </w:divBdr>
      <w:divsChild>
        <w:div w:id="765617196">
          <w:marLeft w:val="0"/>
          <w:marRight w:val="0"/>
          <w:marTop w:val="0"/>
          <w:marBottom w:val="0"/>
          <w:divBdr>
            <w:top w:val="none" w:sz="0" w:space="0" w:color="auto"/>
            <w:left w:val="none" w:sz="0" w:space="0" w:color="auto"/>
            <w:bottom w:val="none" w:sz="0" w:space="0" w:color="auto"/>
            <w:right w:val="none" w:sz="0" w:space="0" w:color="auto"/>
          </w:divBdr>
        </w:div>
        <w:div w:id="503085176">
          <w:marLeft w:val="0"/>
          <w:marRight w:val="0"/>
          <w:marTop w:val="0"/>
          <w:marBottom w:val="0"/>
          <w:divBdr>
            <w:top w:val="none" w:sz="0" w:space="0" w:color="auto"/>
            <w:left w:val="none" w:sz="0" w:space="0" w:color="auto"/>
            <w:bottom w:val="none" w:sz="0" w:space="0" w:color="auto"/>
            <w:right w:val="none" w:sz="0" w:space="0" w:color="auto"/>
          </w:divBdr>
        </w:div>
        <w:div w:id="947472556">
          <w:marLeft w:val="0"/>
          <w:marRight w:val="0"/>
          <w:marTop w:val="0"/>
          <w:marBottom w:val="0"/>
          <w:divBdr>
            <w:top w:val="none" w:sz="0" w:space="0" w:color="auto"/>
            <w:left w:val="none" w:sz="0" w:space="0" w:color="auto"/>
            <w:bottom w:val="none" w:sz="0" w:space="0" w:color="auto"/>
            <w:right w:val="none" w:sz="0" w:space="0" w:color="auto"/>
          </w:divBdr>
        </w:div>
        <w:div w:id="198057758">
          <w:marLeft w:val="0"/>
          <w:marRight w:val="0"/>
          <w:marTop w:val="0"/>
          <w:marBottom w:val="0"/>
          <w:divBdr>
            <w:top w:val="none" w:sz="0" w:space="0" w:color="auto"/>
            <w:left w:val="none" w:sz="0" w:space="0" w:color="auto"/>
            <w:bottom w:val="none" w:sz="0" w:space="0" w:color="auto"/>
            <w:right w:val="none" w:sz="0" w:space="0" w:color="auto"/>
          </w:divBdr>
        </w:div>
        <w:div w:id="1697462152">
          <w:marLeft w:val="0"/>
          <w:marRight w:val="0"/>
          <w:marTop w:val="0"/>
          <w:marBottom w:val="0"/>
          <w:divBdr>
            <w:top w:val="none" w:sz="0" w:space="0" w:color="auto"/>
            <w:left w:val="none" w:sz="0" w:space="0" w:color="auto"/>
            <w:bottom w:val="none" w:sz="0" w:space="0" w:color="auto"/>
            <w:right w:val="none" w:sz="0" w:space="0" w:color="auto"/>
          </w:divBdr>
        </w:div>
      </w:divsChild>
    </w:div>
    <w:div w:id="170486414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07">
          <w:marLeft w:val="0"/>
          <w:marRight w:val="0"/>
          <w:marTop w:val="0"/>
          <w:marBottom w:val="0"/>
          <w:divBdr>
            <w:top w:val="none" w:sz="0" w:space="0" w:color="auto"/>
            <w:left w:val="none" w:sz="0" w:space="0" w:color="auto"/>
            <w:bottom w:val="none" w:sz="0" w:space="0" w:color="auto"/>
            <w:right w:val="none" w:sz="0" w:space="0" w:color="auto"/>
          </w:divBdr>
        </w:div>
        <w:div w:id="1137147447">
          <w:marLeft w:val="0"/>
          <w:marRight w:val="0"/>
          <w:marTop w:val="0"/>
          <w:marBottom w:val="0"/>
          <w:divBdr>
            <w:top w:val="none" w:sz="0" w:space="0" w:color="auto"/>
            <w:left w:val="none" w:sz="0" w:space="0" w:color="auto"/>
            <w:bottom w:val="none" w:sz="0" w:space="0" w:color="auto"/>
            <w:right w:val="none" w:sz="0" w:space="0" w:color="auto"/>
          </w:divBdr>
        </w:div>
        <w:div w:id="970936211">
          <w:marLeft w:val="0"/>
          <w:marRight w:val="0"/>
          <w:marTop w:val="0"/>
          <w:marBottom w:val="0"/>
          <w:divBdr>
            <w:top w:val="none" w:sz="0" w:space="0" w:color="auto"/>
            <w:left w:val="none" w:sz="0" w:space="0" w:color="auto"/>
            <w:bottom w:val="none" w:sz="0" w:space="0" w:color="auto"/>
            <w:right w:val="none" w:sz="0" w:space="0" w:color="auto"/>
          </w:divBdr>
        </w:div>
        <w:div w:id="1273516485">
          <w:marLeft w:val="0"/>
          <w:marRight w:val="0"/>
          <w:marTop w:val="0"/>
          <w:marBottom w:val="0"/>
          <w:divBdr>
            <w:top w:val="none" w:sz="0" w:space="0" w:color="auto"/>
            <w:left w:val="none" w:sz="0" w:space="0" w:color="auto"/>
            <w:bottom w:val="none" w:sz="0" w:space="0" w:color="auto"/>
            <w:right w:val="none" w:sz="0" w:space="0" w:color="auto"/>
          </w:divBdr>
        </w:div>
        <w:div w:id="71585338">
          <w:marLeft w:val="0"/>
          <w:marRight w:val="0"/>
          <w:marTop w:val="0"/>
          <w:marBottom w:val="0"/>
          <w:divBdr>
            <w:top w:val="none" w:sz="0" w:space="0" w:color="auto"/>
            <w:left w:val="none" w:sz="0" w:space="0" w:color="auto"/>
            <w:bottom w:val="none" w:sz="0" w:space="0" w:color="auto"/>
            <w:right w:val="none" w:sz="0" w:space="0" w:color="auto"/>
          </w:divBdr>
        </w:div>
        <w:div w:id="488449004">
          <w:marLeft w:val="0"/>
          <w:marRight w:val="0"/>
          <w:marTop w:val="0"/>
          <w:marBottom w:val="0"/>
          <w:divBdr>
            <w:top w:val="none" w:sz="0" w:space="0" w:color="auto"/>
            <w:left w:val="none" w:sz="0" w:space="0" w:color="auto"/>
            <w:bottom w:val="none" w:sz="0" w:space="0" w:color="auto"/>
            <w:right w:val="none" w:sz="0" w:space="0" w:color="auto"/>
          </w:divBdr>
        </w:div>
        <w:div w:id="926578500">
          <w:marLeft w:val="0"/>
          <w:marRight w:val="0"/>
          <w:marTop w:val="0"/>
          <w:marBottom w:val="0"/>
          <w:divBdr>
            <w:top w:val="none" w:sz="0" w:space="0" w:color="auto"/>
            <w:left w:val="none" w:sz="0" w:space="0" w:color="auto"/>
            <w:bottom w:val="none" w:sz="0" w:space="0" w:color="auto"/>
            <w:right w:val="none" w:sz="0" w:space="0" w:color="auto"/>
          </w:divBdr>
        </w:div>
        <w:div w:id="628556150">
          <w:marLeft w:val="0"/>
          <w:marRight w:val="0"/>
          <w:marTop w:val="0"/>
          <w:marBottom w:val="0"/>
          <w:divBdr>
            <w:top w:val="none" w:sz="0" w:space="0" w:color="auto"/>
            <w:left w:val="none" w:sz="0" w:space="0" w:color="auto"/>
            <w:bottom w:val="none" w:sz="0" w:space="0" w:color="auto"/>
            <w:right w:val="none" w:sz="0" w:space="0" w:color="auto"/>
          </w:divBdr>
        </w:div>
        <w:div w:id="341128900">
          <w:marLeft w:val="0"/>
          <w:marRight w:val="0"/>
          <w:marTop w:val="0"/>
          <w:marBottom w:val="0"/>
          <w:divBdr>
            <w:top w:val="none" w:sz="0" w:space="0" w:color="auto"/>
            <w:left w:val="none" w:sz="0" w:space="0" w:color="auto"/>
            <w:bottom w:val="none" w:sz="0" w:space="0" w:color="auto"/>
            <w:right w:val="none" w:sz="0" w:space="0" w:color="auto"/>
          </w:divBdr>
        </w:div>
        <w:div w:id="610363692">
          <w:marLeft w:val="0"/>
          <w:marRight w:val="0"/>
          <w:marTop w:val="0"/>
          <w:marBottom w:val="0"/>
          <w:divBdr>
            <w:top w:val="none" w:sz="0" w:space="0" w:color="auto"/>
            <w:left w:val="none" w:sz="0" w:space="0" w:color="auto"/>
            <w:bottom w:val="none" w:sz="0" w:space="0" w:color="auto"/>
            <w:right w:val="none" w:sz="0" w:space="0" w:color="auto"/>
          </w:divBdr>
        </w:div>
        <w:div w:id="1870413723">
          <w:marLeft w:val="0"/>
          <w:marRight w:val="0"/>
          <w:marTop w:val="0"/>
          <w:marBottom w:val="0"/>
          <w:divBdr>
            <w:top w:val="none" w:sz="0" w:space="0" w:color="auto"/>
            <w:left w:val="none" w:sz="0" w:space="0" w:color="auto"/>
            <w:bottom w:val="none" w:sz="0" w:space="0" w:color="auto"/>
            <w:right w:val="none" w:sz="0" w:space="0" w:color="auto"/>
          </w:divBdr>
        </w:div>
        <w:div w:id="939528996">
          <w:marLeft w:val="0"/>
          <w:marRight w:val="0"/>
          <w:marTop w:val="0"/>
          <w:marBottom w:val="0"/>
          <w:divBdr>
            <w:top w:val="none" w:sz="0" w:space="0" w:color="auto"/>
            <w:left w:val="none" w:sz="0" w:space="0" w:color="auto"/>
            <w:bottom w:val="none" w:sz="0" w:space="0" w:color="auto"/>
            <w:right w:val="none" w:sz="0" w:space="0" w:color="auto"/>
          </w:divBdr>
        </w:div>
      </w:divsChild>
    </w:div>
    <w:div w:id="1762919331">
      <w:bodyDiv w:val="1"/>
      <w:marLeft w:val="0"/>
      <w:marRight w:val="0"/>
      <w:marTop w:val="0"/>
      <w:marBottom w:val="0"/>
      <w:divBdr>
        <w:top w:val="none" w:sz="0" w:space="0" w:color="auto"/>
        <w:left w:val="none" w:sz="0" w:space="0" w:color="auto"/>
        <w:bottom w:val="none" w:sz="0" w:space="0" w:color="auto"/>
        <w:right w:val="none" w:sz="0" w:space="0" w:color="auto"/>
      </w:divBdr>
      <w:divsChild>
        <w:div w:id="2037651337">
          <w:marLeft w:val="0"/>
          <w:marRight w:val="0"/>
          <w:marTop w:val="0"/>
          <w:marBottom w:val="0"/>
          <w:divBdr>
            <w:top w:val="none" w:sz="0" w:space="0" w:color="auto"/>
            <w:left w:val="none" w:sz="0" w:space="0" w:color="auto"/>
            <w:bottom w:val="none" w:sz="0" w:space="0" w:color="auto"/>
            <w:right w:val="none" w:sz="0" w:space="0" w:color="auto"/>
          </w:divBdr>
          <w:divsChild>
            <w:div w:id="1816951132">
              <w:marLeft w:val="0"/>
              <w:marRight w:val="0"/>
              <w:marTop w:val="120"/>
              <w:marBottom w:val="0"/>
              <w:divBdr>
                <w:top w:val="none" w:sz="0" w:space="0" w:color="auto"/>
                <w:left w:val="none" w:sz="0" w:space="0" w:color="auto"/>
                <w:bottom w:val="single" w:sz="6" w:space="3" w:color="DBDBDB"/>
                <w:right w:val="none" w:sz="0" w:space="0" w:color="auto"/>
              </w:divBdr>
              <w:divsChild>
                <w:div w:id="818889512">
                  <w:marLeft w:val="0"/>
                  <w:marRight w:val="0"/>
                  <w:marTop w:val="0"/>
                  <w:marBottom w:val="0"/>
                  <w:divBdr>
                    <w:top w:val="none" w:sz="0" w:space="0" w:color="auto"/>
                    <w:left w:val="none" w:sz="0" w:space="0" w:color="auto"/>
                    <w:bottom w:val="none" w:sz="0" w:space="0" w:color="auto"/>
                    <w:right w:val="none" w:sz="0" w:space="0" w:color="auto"/>
                  </w:divBdr>
                  <w:divsChild>
                    <w:div w:id="17428678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084232">
      <w:bodyDiv w:val="1"/>
      <w:marLeft w:val="0"/>
      <w:marRight w:val="0"/>
      <w:marTop w:val="0"/>
      <w:marBottom w:val="0"/>
      <w:divBdr>
        <w:top w:val="none" w:sz="0" w:space="0" w:color="auto"/>
        <w:left w:val="none" w:sz="0" w:space="0" w:color="auto"/>
        <w:bottom w:val="none" w:sz="0" w:space="0" w:color="auto"/>
        <w:right w:val="none" w:sz="0" w:space="0" w:color="auto"/>
      </w:divBdr>
    </w:div>
    <w:div w:id="1865168786">
      <w:bodyDiv w:val="1"/>
      <w:marLeft w:val="0"/>
      <w:marRight w:val="0"/>
      <w:marTop w:val="0"/>
      <w:marBottom w:val="0"/>
      <w:divBdr>
        <w:top w:val="none" w:sz="0" w:space="0" w:color="auto"/>
        <w:left w:val="none" w:sz="0" w:space="0" w:color="auto"/>
        <w:bottom w:val="none" w:sz="0" w:space="0" w:color="auto"/>
        <w:right w:val="none" w:sz="0" w:space="0" w:color="auto"/>
      </w:divBdr>
    </w:div>
    <w:div w:id="1914007188">
      <w:bodyDiv w:val="1"/>
      <w:marLeft w:val="0"/>
      <w:marRight w:val="0"/>
      <w:marTop w:val="0"/>
      <w:marBottom w:val="0"/>
      <w:divBdr>
        <w:top w:val="none" w:sz="0" w:space="0" w:color="auto"/>
        <w:left w:val="none" w:sz="0" w:space="0" w:color="auto"/>
        <w:bottom w:val="none" w:sz="0" w:space="0" w:color="auto"/>
        <w:right w:val="none" w:sz="0" w:space="0" w:color="auto"/>
      </w:divBdr>
    </w:div>
    <w:div w:id="2062362965">
      <w:bodyDiv w:val="1"/>
      <w:marLeft w:val="0"/>
      <w:marRight w:val="0"/>
      <w:marTop w:val="0"/>
      <w:marBottom w:val="0"/>
      <w:divBdr>
        <w:top w:val="none" w:sz="0" w:space="0" w:color="auto"/>
        <w:left w:val="none" w:sz="0" w:space="0" w:color="auto"/>
        <w:bottom w:val="none" w:sz="0" w:space="0" w:color="auto"/>
        <w:right w:val="none" w:sz="0" w:space="0" w:color="auto"/>
      </w:divBdr>
    </w:div>
    <w:div w:id="214643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3095207089279641" TargetMode="External"/><Relationship Id="rId13" Type="http://schemas.openxmlformats.org/officeDocument/2006/relationships/hyperlink" Target="http://lattes.cnpq.br/2079368341132335" TargetMode="External"/><Relationship Id="rId18" Type="http://schemas.openxmlformats.org/officeDocument/2006/relationships/image" Target="media/image7.png"/><Relationship Id="rId26" Type="http://schemas.openxmlformats.org/officeDocument/2006/relationships/hyperlink" Target="https://www.gov.br/senappen/pt-br/servicos/sisdepen/relatorios/relipen/relipen-2o-semestre-de-2024.pdf" TargetMode="External"/><Relationship Id="rId39" Type="http://schemas.openxmlformats.org/officeDocument/2006/relationships/hyperlink" Target="https://www.tjam.jus.br/index.php/menu/sala-de-imprensa/3641-tjam-e-seap-firmam-instrucao-normativa-para-tratar-do-uso-de-tornozeleira-eletronica-no-amazonas" TargetMode="External"/><Relationship Id="rId3" Type="http://schemas.openxmlformats.org/officeDocument/2006/relationships/webSettings" Target="webSettings.xml"/><Relationship Id="rId21" Type="http://schemas.openxmlformats.org/officeDocument/2006/relationships/chart" Target="charts/chart3.xml"/><Relationship Id="rId34" Type="http://schemas.openxmlformats.org/officeDocument/2006/relationships/hyperlink" Target="https://site.conpedi.org.br/publicacoes/b3vv7r7g/9039026m/3iRa3dvB7JfRUCkg.pdf" TargetMode="External"/><Relationship Id="rId42" Type="http://schemas.openxmlformats.org/officeDocument/2006/relationships/header" Target="header1.xml"/><Relationship Id="rId7" Type="http://schemas.openxmlformats.org/officeDocument/2006/relationships/image" Target="media/image2.png"/><Relationship Id="rId12" Type="http://schemas.openxmlformats.org/officeDocument/2006/relationships/hyperlink" Target="https://orcid.org/0009-0008-4544-1885" TargetMode="External"/><Relationship Id="rId17" Type="http://schemas.openxmlformats.org/officeDocument/2006/relationships/image" Target="media/image6.png"/><Relationship Id="rId25" Type="http://schemas.openxmlformats.org/officeDocument/2006/relationships/hyperlink" Target="http://www.planalto.gov.br/ccivil_03/_ato2007-2010/2010/lei/l12258.htm" TargetMode="External"/><Relationship Id="rId33" Type="http://schemas.openxmlformats.org/officeDocument/2006/relationships/hyperlink" Target="https://doi.org/10.69849/revistaft/ni10202409081702" TargetMode="External"/><Relationship Id="rId38" Type="http://schemas.openxmlformats.org/officeDocument/2006/relationships/hyperlink" Target="https://www.stf.jus.br/arquivo/cms/noticiaNoticiaStf/anexo/1ADPF347InformaosociedadeV2_6out23_17h55.pdf"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chart" Target="charts/chart2.xml"/><Relationship Id="rId29" Type="http://schemas.openxmlformats.org/officeDocument/2006/relationships/hyperlink" Target="https://www.cnj.jus.br/wp-content/uploads/2021/11/diagnostico-politica-monitoracao-eletronica.pdf" TargetMode="External"/><Relationship Id="rId41" Type="http://schemas.openxmlformats.org/officeDocument/2006/relationships/hyperlink" Target="https://periodicos.puccampinas.edu.br/direitoshumanos/article/view/5790"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lattes.cnpq.br/6700670016278837" TargetMode="External"/><Relationship Id="rId24" Type="http://schemas.openxmlformats.org/officeDocument/2006/relationships/hyperlink" Target="http://www.planalto.gov.br/ccivil_03/_ato2004-2006/2006/lei/l11340.htm" TargetMode="External"/><Relationship Id="rId32" Type="http://schemas.openxmlformats.org/officeDocument/2006/relationships/hyperlink" Target="https://legisla.imprensaoficial.am.gov.br/diario_am/12/2024/12/14728?q=monitoramento+eletronico+de+agressores" TargetMode="External"/><Relationship Id="rId37" Type="http://schemas.openxmlformats.org/officeDocument/2006/relationships/hyperlink" Target="https://doi.org/10.2307/305275" TargetMode="External"/><Relationship Id="rId40" Type="http://schemas.openxmlformats.org/officeDocument/2006/relationships/hyperlink" Target="https://revista.fumec.br/index.php/meritum/article/view/8854" TargetMode="Externa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www.planalto.gov.br/ccivil_03/decreto-lei/del3689.htm" TargetMode="External"/><Relationship Id="rId28" Type="http://schemas.openxmlformats.org/officeDocument/2006/relationships/hyperlink" Target="https://www.scielo.br/j/ts/a/7BwG3knGMGFZMbqCRFVGkfH/?lang=pt" TargetMode="External"/><Relationship Id="rId36" Type="http://schemas.openxmlformats.org/officeDocument/2006/relationships/hyperlink" Target="https://www.jstor.org/stable/3052751" TargetMode="External"/><Relationship Id="rId10" Type="http://schemas.openxmlformats.org/officeDocument/2006/relationships/hyperlink" Target="https://orcid.org/0009-0003-1259-5478" TargetMode="External"/><Relationship Id="rId19" Type="http://schemas.openxmlformats.org/officeDocument/2006/relationships/chart" Target="charts/chart1.xml"/><Relationship Id="rId31" Type="http://schemas.openxmlformats.org/officeDocument/2006/relationships/hyperlink" Target="https://www.cnj.jus.br/stf-analisa-nesta-quarta-16-10-plano-para-interromper-violacoes-de-direitos-humanos-em-presidios/"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orcid.org/0000-0003-3086-2624" TargetMode="External"/><Relationship Id="rId22" Type="http://schemas.openxmlformats.org/officeDocument/2006/relationships/hyperlink" Target="https://doi.org/10.1007/978-3-031-39158-3_31" TargetMode="External"/><Relationship Id="rId27" Type="http://schemas.openxmlformats.org/officeDocument/2006/relationships/hyperlink" Target="https://www.teses.usp.br/teses/disponiveis/8/8132/tde-16122019-185040/publico/2019_RicardoUrquizasCampello_VCorr.pdf" TargetMode="External"/><Relationship Id="rId30" Type="http://schemas.openxmlformats.org/officeDocument/2006/relationships/hyperlink" Target="https://www.cnj.jus.br/wp-content/uploads/2021/04/Resolu%C3%A7%C3%A3o-CNJ-n%C2%BA-412-2021.pdf" TargetMode="External"/><Relationship Id="rId35" Type="http://schemas.openxmlformats.org/officeDocument/2006/relationships/hyperlink" Target="http://dspace.mj.gov.br/handle/1/5406"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mello.cesar@gmail.com" TargetMode="External"/><Relationship Id="rId2" Type="http://schemas.openxmlformats.org/officeDocument/2006/relationships/hyperlink" Target="mailto:mvoa10@gmail.com" TargetMode="External"/><Relationship Id="rId1" Type="http://schemas.openxmlformats.org/officeDocument/2006/relationships/hyperlink" Target="mailto:janajbm@g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Jana\Downloads\Planilha%20Ces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na\Downloads\Planilha%20Ces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ana\Downloads\Planilha%20Ces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0.94825964252116646"/>
          <c:h val="0.74625266463814655"/>
        </c:manualLayout>
      </c:layout>
      <c:lineChart>
        <c:grouping val="standard"/>
        <c:varyColors val="0"/>
        <c:ser>
          <c:idx val="0"/>
          <c:order val="0"/>
          <c:tx>
            <c:strRef>
              <c:f>Plan1!$B$1</c:f>
              <c:strCache>
                <c:ptCount val="1"/>
                <c:pt idx="0">
                  <c:v>Executado mês</c:v>
                </c:pt>
              </c:strCache>
            </c:strRef>
          </c:tx>
          <c:spPr>
            <a:ln w="22225" cap="rnd" cmpd="sng" algn="ctr">
              <a:solidFill>
                <a:schemeClr val="accent1"/>
              </a:solidFill>
              <a:round/>
            </a:ln>
            <a:effectLst/>
          </c:spPr>
          <c:marker>
            <c:symbol val="none"/>
          </c:marker>
          <c:dLbls>
            <c:dLbl>
              <c:idx val="0"/>
              <c:layout>
                <c:manualLayout>
                  <c:x val="1.6081708449396472E-2"/>
                  <c:y val="-8.017754304398194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A77-4CB6-A35A-B88A6A36D15B}"/>
                </c:ext>
              </c:extLst>
            </c:dLbl>
            <c:dLbl>
              <c:idx val="1"/>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solidFill>
                      <a:latin typeface="+mn-lt"/>
                      <a:ea typeface="+mn-ea"/>
                      <a:cs typeface="+mn-cs"/>
                    </a:defRPr>
                  </a:pPr>
                  <a:endParaRPr lang="pt-BR"/>
                </a:p>
              </c:txPr>
              <c:dLblPos val="t"/>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5A77-4CB6-A35A-B88A6A36D15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Plan1!$C$22:$C$33</c:f>
              <c:numCache>
                <c:formatCode>#,##0</c:formatCode>
                <c:ptCount val="12"/>
                <c:pt idx="0">
                  <c:v>689</c:v>
                </c:pt>
                <c:pt idx="1">
                  <c:v>1473</c:v>
                </c:pt>
                <c:pt idx="2">
                  <c:v>2416</c:v>
                </c:pt>
                <c:pt idx="3">
                  <c:v>3619</c:v>
                </c:pt>
                <c:pt idx="4">
                  <c:v>4832</c:v>
                </c:pt>
                <c:pt idx="5">
                  <c:v>6194</c:v>
                </c:pt>
                <c:pt idx="6">
                  <c:v>6415</c:v>
                </c:pt>
                <c:pt idx="7">
                  <c:v>6648</c:v>
                </c:pt>
                <c:pt idx="8">
                  <c:v>6867</c:v>
                </c:pt>
                <c:pt idx="9">
                  <c:v>7075</c:v>
                </c:pt>
                <c:pt idx="10">
                  <c:v>7282</c:v>
                </c:pt>
                <c:pt idx="11">
                  <c:v>7423</c:v>
                </c:pt>
              </c:numCache>
            </c:numRef>
          </c:cat>
          <c:val>
            <c:numRef>
              <c:f>Plan1!$B$40:$B$51</c:f>
              <c:numCache>
                <c:formatCode>General</c:formatCode>
                <c:ptCount val="12"/>
                <c:pt idx="0">
                  <c:v>354</c:v>
                </c:pt>
                <c:pt idx="1">
                  <c:v>765</c:v>
                </c:pt>
                <c:pt idx="2">
                  <c:v>1314</c:v>
                </c:pt>
                <c:pt idx="3">
                  <c:v>1351</c:v>
                </c:pt>
                <c:pt idx="4">
                  <c:v>1266</c:v>
                </c:pt>
                <c:pt idx="5">
                  <c:v>1382</c:v>
                </c:pt>
                <c:pt idx="6">
                  <c:v>140</c:v>
                </c:pt>
                <c:pt idx="7">
                  <c:v>141</c:v>
                </c:pt>
                <c:pt idx="8">
                  <c:v>148</c:v>
                </c:pt>
                <c:pt idx="9">
                  <c:v>125</c:v>
                </c:pt>
                <c:pt idx="10">
                  <c:v>155</c:v>
                </c:pt>
                <c:pt idx="11">
                  <c:v>127</c:v>
                </c:pt>
              </c:numCache>
            </c:numRef>
          </c:val>
          <c:smooth val="0"/>
          <c:extLst>
            <c:ext xmlns:c16="http://schemas.microsoft.com/office/drawing/2014/chart" uri="{C3380CC4-5D6E-409C-BE32-E72D297353CC}">
              <c16:uniqueId val="{00000002-5A77-4CB6-A35A-B88A6A36D15B}"/>
            </c:ext>
          </c:extLst>
        </c:ser>
        <c:ser>
          <c:idx val="1"/>
          <c:order val="1"/>
          <c:tx>
            <c:strRef>
              <c:f>Plan1!$C$1</c:f>
              <c:strCache>
                <c:ptCount val="1"/>
                <c:pt idx="0">
                  <c:v>Acumulado</c:v>
                </c:pt>
              </c:strCache>
            </c:strRef>
          </c:tx>
          <c:spPr>
            <a:ln w="22225" cap="rnd" cmpd="sng" algn="ctr">
              <a:solidFill>
                <a:schemeClr val="accent2"/>
              </a:solidFill>
              <a:round/>
            </a:ln>
            <a:effectLst/>
          </c:spPr>
          <c:marker>
            <c:symbol val="none"/>
          </c:marker>
          <c:dLbls>
            <c:dLbl>
              <c:idx val="1"/>
              <c:layout>
                <c:manualLayout>
                  <c:x val="-5.2357760312886574E-2"/>
                  <c:y val="-9.09552276631544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E0-43CB-B642-F2270A124017}"/>
                </c:ext>
              </c:extLst>
            </c:dLbl>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Plan1!$C$22:$C$33</c:f>
              <c:numCache>
                <c:formatCode>#,##0</c:formatCode>
                <c:ptCount val="12"/>
                <c:pt idx="0">
                  <c:v>689</c:v>
                </c:pt>
                <c:pt idx="1">
                  <c:v>1473</c:v>
                </c:pt>
                <c:pt idx="2">
                  <c:v>2416</c:v>
                </c:pt>
                <c:pt idx="3">
                  <c:v>3619</c:v>
                </c:pt>
                <c:pt idx="4">
                  <c:v>4832</c:v>
                </c:pt>
                <c:pt idx="5">
                  <c:v>6194</c:v>
                </c:pt>
                <c:pt idx="6">
                  <c:v>6415</c:v>
                </c:pt>
                <c:pt idx="7">
                  <c:v>6648</c:v>
                </c:pt>
                <c:pt idx="8">
                  <c:v>6867</c:v>
                </c:pt>
                <c:pt idx="9">
                  <c:v>7075</c:v>
                </c:pt>
                <c:pt idx="10">
                  <c:v>7282</c:v>
                </c:pt>
                <c:pt idx="11">
                  <c:v>7423</c:v>
                </c:pt>
              </c:numCache>
            </c:numRef>
          </c:cat>
          <c:val>
            <c:numRef>
              <c:f>Plan1!$C$40:$C$51</c:f>
              <c:numCache>
                <c:formatCode>#,##0</c:formatCode>
                <c:ptCount val="12"/>
                <c:pt idx="0">
                  <c:v>354</c:v>
                </c:pt>
                <c:pt idx="1">
                  <c:v>1119</c:v>
                </c:pt>
                <c:pt idx="2">
                  <c:v>2433</c:v>
                </c:pt>
                <c:pt idx="3">
                  <c:v>3784</c:v>
                </c:pt>
                <c:pt idx="4">
                  <c:v>5050</c:v>
                </c:pt>
                <c:pt idx="5">
                  <c:v>6432</c:v>
                </c:pt>
                <c:pt idx="6">
                  <c:v>6572</c:v>
                </c:pt>
                <c:pt idx="7">
                  <c:v>6713</c:v>
                </c:pt>
                <c:pt idx="8">
                  <c:v>6861</c:v>
                </c:pt>
                <c:pt idx="9">
                  <c:v>6986</c:v>
                </c:pt>
                <c:pt idx="10">
                  <c:v>7141</c:v>
                </c:pt>
                <c:pt idx="11">
                  <c:v>7268</c:v>
                </c:pt>
              </c:numCache>
            </c:numRef>
          </c:val>
          <c:smooth val="0"/>
          <c:extLst>
            <c:ext xmlns:c16="http://schemas.microsoft.com/office/drawing/2014/chart" uri="{C3380CC4-5D6E-409C-BE32-E72D297353CC}">
              <c16:uniqueId val="{00000003-5A77-4CB6-A35A-B88A6A36D15B}"/>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46359104"/>
        <c:axId val="1046359648"/>
      </c:lineChart>
      <c:catAx>
        <c:axId val="1046359104"/>
        <c:scaling>
          <c:orientation val="minMax"/>
        </c:scaling>
        <c:delete val="0"/>
        <c:axPos val="b"/>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spc="20" baseline="0">
                <a:solidFill>
                  <a:schemeClr val="tx1"/>
                </a:solidFill>
                <a:latin typeface="+mn-lt"/>
                <a:ea typeface="+mn-ea"/>
                <a:cs typeface="+mn-cs"/>
              </a:defRPr>
            </a:pPr>
            <a:endParaRPr lang="pt-BR"/>
          </a:p>
        </c:txPr>
        <c:crossAx val="1046359648"/>
        <c:crosses val="autoZero"/>
        <c:auto val="1"/>
        <c:lblAlgn val="ctr"/>
        <c:lblOffset val="100"/>
        <c:noMultiLvlLbl val="0"/>
      </c:catAx>
      <c:valAx>
        <c:axId val="1046359648"/>
        <c:scaling>
          <c:orientation val="minMax"/>
        </c:scaling>
        <c:delete val="1"/>
        <c:axPos val="l"/>
        <c:numFmt formatCode="General" sourceLinked="1"/>
        <c:majorTickMark val="none"/>
        <c:minorTickMark val="none"/>
        <c:tickLblPos val="nextTo"/>
        <c:crossAx val="104635910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Plan1!$B$1</c:f>
              <c:strCache>
                <c:ptCount val="1"/>
                <c:pt idx="0">
                  <c:v>Executado mês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Plan1!$A$2:$A$13</c:f>
              <c:strCache>
                <c:ptCount val="12"/>
                <c:pt idx="0">
                  <c:v>2021
2 Sem</c:v>
                </c:pt>
                <c:pt idx="1">
                  <c:v>2022
1 Sem</c:v>
                </c:pt>
                <c:pt idx="2">
                  <c:v>2022
2 Sem</c:v>
                </c:pt>
                <c:pt idx="3">
                  <c:v>2023
1 Sem</c:v>
                </c:pt>
                <c:pt idx="4">
                  <c:v>2023
2 Sem</c:v>
                </c:pt>
                <c:pt idx="5">
                  <c:v>2024
1 Sem</c:v>
                </c:pt>
                <c:pt idx="6">
                  <c:v>jul/24</c:v>
                </c:pt>
                <c:pt idx="7">
                  <c:v>ago/24</c:v>
                </c:pt>
                <c:pt idx="8">
                  <c:v>set/24</c:v>
                </c:pt>
                <c:pt idx="9">
                  <c:v>out/24</c:v>
                </c:pt>
                <c:pt idx="10">
                  <c:v>nov/24</c:v>
                </c:pt>
                <c:pt idx="11">
                  <c:v>dez/24</c:v>
                </c:pt>
              </c:strCache>
            </c:strRef>
          </c:cat>
          <c:val>
            <c:numRef>
              <c:f>Plan1!$B$2:$B$13</c:f>
              <c:numCache>
                <c:formatCode>General</c:formatCode>
                <c:ptCount val="12"/>
                <c:pt idx="0">
                  <c:v>294</c:v>
                </c:pt>
                <c:pt idx="1">
                  <c:v>298</c:v>
                </c:pt>
                <c:pt idx="2">
                  <c:v>296</c:v>
                </c:pt>
                <c:pt idx="3">
                  <c:v>305</c:v>
                </c:pt>
                <c:pt idx="4">
                  <c:v>534</c:v>
                </c:pt>
                <c:pt idx="5">
                  <c:v>632</c:v>
                </c:pt>
                <c:pt idx="6">
                  <c:v>98</c:v>
                </c:pt>
                <c:pt idx="7">
                  <c:v>100</c:v>
                </c:pt>
                <c:pt idx="8">
                  <c:v>99</c:v>
                </c:pt>
                <c:pt idx="9">
                  <c:v>101</c:v>
                </c:pt>
                <c:pt idx="10">
                  <c:v>103</c:v>
                </c:pt>
                <c:pt idx="11">
                  <c:v>105</c:v>
                </c:pt>
              </c:numCache>
            </c:numRef>
          </c:val>
          <c:smooth val="0"/>
          <c:extLst>
            <c:ext xmlns:c16="http://schemas.microsoft.com/office/drawing/2014/chart" uri="{C3380CC4-5D6E-409C-BE32-E72D297353CC}">
              <c16:uniqueId val="{00000000-F479-4816-AD21-C98F02A52E03}"/>
            </c:ext>
          </c:extLst>
        </c:ser>
        <c:ser>
          <c:idx val="1"/>
          <c:order val="1"/>
          <c:tx>
            <c:strRef>
              <c:f>Plan1!$C$1</c:f>
              <c:strCache>
                <c:ptCount val="1"/>
                <c:pt idx="0">
                  <c:v>Acumulado</c:v>
                </c:pt>
              </c:strCache>
            </c:strRef>
          </c:tx>
          <c:spPr>
            <a:ln w="22225" cap="rnd" cmpd="sng" algn="ctr">
              <a:solidFill>
                <a:schemeClr val="accent2"/>
              </a:solidFill>
              <a:round/>
            </a:ln>
            <a:effectLst/>
          </c:spPr>
          <c:marker>
            <c:symbol val="none"/>
          </c:marker>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Plan1!$A$2:$A$13</c:f>
              <c:strCache>
                <c:ptCount val="12"/>
                <c:pt idx="0">
                  <c:v>2021
2 Sem</c:v>
                </c:pt>
                <c:pt idx="1">
                  <c:v>2022
1 Sem</c:v>
                </c:pt>
                <c:pt idx="2">
                  <c:v>2022
2 Sem</c:v>
                </c:pt>
                <c:pt idx="3">
                  <c:v>2023
1 Sem</c:v>
                </c:pt>
                <c:pt idx="4">
                  <c:v>2023
2 Sem</c:v>
                </c:pt>
                <c:pt idx="5">
                  <c:v>2024
1 Sem</c:v>
                </c:pt>
                <c:pt idx="6">
                  <c:v>jul/24</c:v>
                </c:pt>
                <c:pt idx="7">
                  <c:v>ago/24</c:v>
                </c:pt>
                <c:pt idx="8">
                  <c:v>set/24</c:v>
                </c:pt>
                <c:pt idx="9">
                  <c:v>out/24</c:v>
                </c:pt>
                <c:pt idx="10">
                  <c:v>nov/24</c:v>
                </c:pt>
                <c:pt idx="11">
                  <c:v>dez/24</c:v>
                </c:pt>
              </c:strCache>
            </c:strRef>
          </c:cat>
          <c:val>
            <c:numRef>
              <c:f>Plan1!$C$2:$C$13</c:f>
              <c:numCache>
                <c:formatCode>#,##0</c:formatCode>
                <c:ptCount val="12"/>
                <c:pt idx="0">
                  <c:v>294</c:v>
                </c:pt>
                <c:pt idx="1">
                  <c:v>592</c:v>
                </c:pt>
                <c:pt idx="2">
                  <c:v>888</c:v>
                </c:pt>
                <c:pt idx="3">
                  <c:v>1193</c:v>
                </c:pt>
                <c:pt idx="4">
                  <c:v>1727</c:v>
                </c:pt>
                <c:pt idx="5">
                  <c:v>2359</c:v>
                </c:pt>
                <c:pt idx="6">
                  <c:v>2457</c:v>
                </c:pt>
                <c:pt idx="7">
                  <c:v>2557</c:v>
                </c:pt>
                <c:pt idx="8">
                  <c:v>2656</c:v>
                </c:pt>
                <c:pt idx="9">
                  <c:v>2757</c:v>
                </c:pt>
                <c:pt idx="10">
                  <c:v>2860</c:v>
                </c:pt>
                <c:pt idx="11">
                  <c:v>2965</c:v>
                </c:pt>
              </c:numCache>
            </c:numRef>
          </c:val>
          <c:smooth val="0"/>
          <c:extLst>
            <c:ext xmlns:c16="http://schemas.microsoft.com/office/drawing/2014/chart" uri="{C3380CC4-5D6E-409C-BE32-E72D297353CC}">
              <c16:uniqueId val="{00000001-F479-4816-AD21-C98F02A52E03}"/>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046354752"/>
        <c:axId val="1572065136"/>
      </c:lineChart>
      <c:catAx>
        <c:axId val="1046354752"/>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spc="20" baseline="0">
                <a:solidFill>
                  <a:schemeClr val="tx1"/>
                </a:solidFill>
                <a:latin typeface="+mn-lt"/>
                <a:ea typeface="+mn-ea"/>
                <a:cs typeface="+mn-cs"/>
              </a:defRPr>
            </a:pPr>
            <a:endParaRPr lang="pt-BR"/>
          </a:p>
        </c:txPr>
        <c:crossAx val="1572065136"/>
        <c:crosses val="autoZero"/>
        <c:auto val="1"/>
        <c:lblAlgn val="ctr"/>
        <c:lblOffset val="100"/>
        <c:noMultiLvlLbl val="0"/>
      </c:catAx>
      <c:valAx>
        <c:axId val="1572065136"/>
        <c:scaling>
          <c:orientation val="minMax"/>
        </c:scaling>
        <c:delete val="1"/>
        <c:axPos val="l"/>
        <c:numFmt formatCode="General" sourceLinked="1"/>
        <c:majorTickMark val="none"/>
        <c:minorTickMark val="none"/>
        <c:tickLblPos val="nextTo"/>
        <c:crossAx val="104635475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Plan1!$B$1</c:f>
              <c:strCache>
                <c:ptCount val="1"/>
                <c:pt idx="0">
                  <c:v>Executado mês</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Plan1!$C$22:$C$33</c:f>
              <c:numCache>
                <c:formatCode>#,##0</c:formatCode>
                <c:ptCount val="12"/>
                <c:pt idx="0">
                  <c:v>689</c:v>
                </c:pt>
                <c:pt idx="1">
                  <c:v>1473</c:v>
                </c:pt>
                <c:pt idx="2">
                  <c:v>2416</c:v>
                </c:pt>
                <c:pt idx="3">
                  <c:v>3619</c:v>
                </c:pt>
                <c:pt idx="4">
                  <c:v>4832</c:v>
                </c:pt>
                <c:pt idx="5">
                  <c:v>6194</c:v>
                </c:pt>
                <c:pt idx="6">
                  <c:v>6415</c:v>
                </c:pt>
                <c:pt idx="7">
                  <c:v>6648</c:v>
                </c:pt>
                <c:pt idx="8">
                  <c:v>6867</c:v>
                </c:pt>
                <c:pt idx="9">
                  <c:v>7075</c:v>
                </c:pt>
                <c:pt idx="10">
                  <c:v>7282</c:v>
                </c:pt>
                <c:pt idx="11">
                  <c:v>7423</c:v>
                </c:pt>
              </c:numCache>
            </c:numRef>
          </c:cat>
          <c:val>
            <c:numRef>
              <c:f>Plan1!$B$22:$B$33</c:f>
              <c:numCache>
                <c:formatCode>General</c:formatCode>
                <c:ptCount val="12"/>
                <c:pt idx="0">
                  <c:v>689</c:v>
                </c:pt>
                <c:pt idx="1">
                  <c:v>784</c:v>
                </c:pt>
                <c:pt idx="2">
                  <c:v>943</c:v>
                </c:pt>
                <c:pt idx="3">
                  <c:v>1203</c:v>
                </c:pt>
                <c:pt idx="4">
                  <c:v>1213</c:v>
                </c:pt>
                <c:pt idx="5">
                  <c:v>1362</c:v>
                </c:pt>
                <c:pt idx="6">
                  <c:v>221</c:v>
                </c:pt>
                <c:pt idx="7">
                  <c:v>233</c:v>
                </c:pt>
                <c:pt idx="8">
                  <c:v>219</c:v>
                </c:pt>
                <c:pt idx="9">
                  <c:v>208</c:v>
                </c:pt>
                <c:pt idx="10">
                  <c:v>207</c:v>
                </c:pt>
                <c:pt idx="11">
                  <c:v>141</c:v>
                </c:pt>
              </c:numCache>
            </c:numRef>
          </c:val>
          <c:smooth val="0"/>
          <c:extLst>
            <c:ext xmlns:c16="http://schemas.microsoft.com/office/drawing/2014/chart" uri="{C3380CC4-5D6E-409C-BE32-E72D297353CC}">
              <c16:uniqueId val="{00000000-790A-465C-A949-CE92D12F4E4D}"/>
            </c:ext>
          </c:extLst>
        </c:ser>
        <c:ser>
          <c:idx val="1"/>
          <c:order val="1"/>
          <c:tx>
            <c:strRef>
              <c:f>Plan1!$C$1</c:f>
              <c:strCache>
                <c:ptCount val="1"/>
                <c:pt idx="0">
                  <c:v>Acumulado</c:v>
                </c:pt>
              </c:strCache>
            </c:strRef>
          </c:tx>
          <c:spPr>
            <a:ln w="22225" cap="rnd" cmpd="sng" algn="ctr">
              <a:solidFill>
                <a:schemeClr val="accent2"/>
              </a:solidFill>
              <a:round/>
            </a:ln>
            <a:effectLst/>
          </c:spPr>
          <c:marker>
            <c:symbol val="none"/>
          </c:marker>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Plan1!$C$22:$C$33</c:f>
              <c:numCache>
                <c:formatCode>#,##0</c:formatCode>
                <c:ptCount val="12"/>
                <c:pt idx="0">
                  <c:v>689</c:v>
                </c:pt>
                <c:pt idx="1">
                  <c:v>1473</c:v>
                </c:pt>
                <c:pt idx="2">
                  <c:v>2416</c:v>
                </c:pt>
                <c:pt idx="3">
                  <c:v>3619</c:v>
                </c:pt>
                <c:pt idx="4">
                  <c:v>4832</c:v>
                </c:pt>
                <c:pt idx="5">
                  <c:v>6194</c:v>
                </c:pt>
                <c:pt idx="6">
                  <c:v>6415</c:v>
                </c:pt>
                <c:pt idx="7">
                  <c:v>6648</c:v>
                </c:pt>
                <c:pt idx="8">
                  <c:v>6867</c:v>
                </c:pt>
                <c:pt idx="9">
                  <c:v>7075</c:v>
                </c:pt>
                <c:pt idx="10">
                  <c:v>7282</c:v>
                </c:pt>
                <c:pt idx="11">
                  <c:v>7423</c:v>
                </c:pt>
              </c:numCache>
            </c:numRef>
          </c:cat>
          <c:val>
            <c:numRef>
              <c:f>Plan1!$C$22:$C$33</c:f>
              <c:numCache>
                <c:formatCode>#,##0</c:formatCode>
                <c:ptCount val="12"/>
                <c:pt idx="0">
                  <c:v>689</c:v>
                </c:pt>
                <c:pt idx="1">
                  <c:v>1473</c:v>
                </c:pt>
                <c:pt idx="2">
                  <c:v>2416</c:v>
                </c:pt>
                <c:pt idx="3">
                  <c:v>3619</c:v>
                </c:pt>
                <c:pt idx="4">
                  <c:v>4832</c:v>
                </c:pt>
                <c:pt idx="5">
                  <c:v>6194</c:v>
                </c:pt>
                <c:pt idx="6">
                  <c:v>6415</c:v>
                </c:pt>
                <c:pt idx="7">
                  <c:v>6648</c:v>
                </c:pt>
                <c:pt idx="8">
                  <c:v>6867</c:v>
                </c:pt>
                <c:pt idx="9">
                  <c:v>7075</c:v>
                </c:pt>
                <c:pt idx="10">
                  <c:v>7282</c:v>
                </c:pt>
                <c:pt idx="11">
                  <c:v>7423</c:v>
                </c:pt>
              </c:numCache>
            </c:numRef>
          </c:val>
          <c:smooth val="0"/>
          <c:extLst>
            <c:ext xmlns:c16="http://schemas.microsoft.com/office/drawing/2014/chart" uri="{C3380CC4-5D6E-409C-BE32-E72D297353CC}">
              <c16:uniqueId val="{00000001-790A-465C-A949-CE92D12F4E4D}"/>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28265776"/>
        <c:axId val="928267408"/>
      </c:lineChart>
      <c:catAx>
        <c:axId val="928265776"/>
        <c:scaling>
          <c:orientation val="minMax"/>
        </c:scaling>
        <c:delete val="0"/>
        <c:axPos val="b"/>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spc="20" baseline="0">
                <a:solidFill>
                  <a:schemeClr val="tx1"/>
                </a:solidFill>
                <a:latin typeface="+mn-lt"/>
                <a:ea typeface="+mn-ea"/>
                <a:cs typeface="+mn-cs"/>
              </a:defRPr>
            </a:pPr>
            <a:endParaRPr lang="pt-BR"/>
          </a:p>
        </c:txPr>
        <c:crossAx val="928267408"/>
        <c:crosses val="autoZero"/>
        <c:auto val="1"/>
        <c:lblAlgn val="ctr"/>
        <c:lblOffset val="100"/>
        <c:noMultiLvlLbl val="0"/>
      </c:catAx>
      <c:valAx>
        <c:axId val="928267408"/>
        <c:scaling>
          <c:orientation val="minMax"/>
        </c:scaling>
        <c:delete val="1"/>
        <c:axPos val="l"/>
        <c:numFmt formatCode="General" sourceLinked="1"/>
        <c:majorTickMark val="none"/>
        <c:minorTickMark val="none"/>
        <c:tickLblPos val="nextTo"/>
        <c:crossAx val="928265776"/>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t-BR"/>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8354</Words>
  <Characters>45115</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2025-07-07T02:24:00Z</dcterms:created>
  <dcterms:modified xsi:type="dcterms:W3CDTF">2025-10-30T11:42:00Z</dcterms:modified>
</cp:coreProperties>
</file>